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3774A" w14:textId="518CE245" w:rsidR="007946ED" w:rsidRPr="00E202D3" w:rsidRDefault="007946ED" w:rsidP="007946ED">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3GPP TSG RAN WG1 #103-e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bookmarkStart w:id="1" w:name="_GoBack"/>
      <w:bookmarkEnd w:id="1"/>
      <w:r w:rsidR="004E6A22" w:rsidRPr="004E6A22">
        <w:rPr>
          <w:rFonts w:ascii="Arial" w:eastAsia="ＭＳ 明朝" w:hAnsi="Arial"/>
          <w:b/>
          <w:noProof/>
          <w:lang w:val="en-US"/>
        </w:rPr>
        <w:t>R1-2009184</w:t>
      </w:r>
    </w:p>
    <w:bookmarkEnd w:id="0"/>
    <w:p w14:paraId="62F42188" w14:textId="77777777" w:rsidR="007946ED" w:rsidRPr="00420A1D" w:rsidRDefault="007946ED" w:rsidP="007946ED">
      <w:pPr>
        <w:tabs>
          <w:tab w:val="center" w:pos="4536"/>
          <w:tab w:val="right" w:pos="9072"/>
        </w:tabs>
        <w:rPr>
          <w:rFonts w:ascii="Arial" w:eastAsia="ＭＳ 明朝" w:hAnsi="Arial"/>
          <w:b/>
          <w:noProof/>
        </w:rPr>
      </w:pPr>
      <w:r w:rsidRPr="00420A1D">
        <w:rPr>
          <w:rFonts w:ascii="Arial" w:eastAsia="ＭＳ 明朝" w:hAnsi="Arial"/>
          <w:b/>
          <w:noProof/>
        </w:rPr>
        <w:t xml:space="preserve">e-Meeting, </w:t>
      </w:r>
      <w:r>
        <w:rPr>
          <w:rFonts w:ascii="Arial" w:eastAsia="ＭＳ 明朝" w:hAnsi="Arial"/>
          <w:b/>
          <w:noProof/>
        </w:rPr>
        <w:t>October 26th</w:t>
      </w:r>
      <w:r w:rsidRPr="00420A1D">
        <w:rPr>
          <w:rFonts w:ascii="Arial" w:eastAsia="ＭＳ 明朝" w:hAnsi="Arial"/>
          <w:b/>
          <w:noProof/>
        </w:rPr>
        <w:t xml:space="preserve"> – </w:t>
      </w:r>
      <w:r>
        <w:rPr>
          <w:rFonts w:ascii="Arial" w:eastAsia="ＭＳ 明朝" w:hAnsi="Arial"/>
          <w:b/>
          <w:noProof/>
        </w:rPr>
        <w:t>November 13th</w:t>
      </w:r>
      <w:r w:rsidRPr="00420A1D">
        <w:rPr>
          <w:rFonts w:ascii="Arial" w:eastAsia="ＭＳ 明朝" w:hAnsi="Arial"/>
          <w:b/>
          <w:noProof/>
        </w:rPr>
        <w:t>, 2020</w:t>
      </w:r>
    </w:p>
    <w:p w14:paraId="616466B9" w14:textId="77777777" w:rsidR="00EF5B82" w:rsidRPr="007946ED" w:rsidRDefault="00EF5B82" w:rsidP="00EF5B82">
      <w:pPr>
        <w:pStyle w:val="a7"/>
        <w:ind w:left="1800" w:hanging="1800"/>
        <w:rPr>
          <w:rFonts w:eastAsia="ＭＳ ゴシック"/>
          <w:noProof w:val="0"/>
          <w:sz w:val="24"/>
          <w:lang w:eastAsia="ja-JP"/>
        </w:rPr>
      </w:pPr>
    </w:p>
    <w:p w14:paraId="63C5B2A7" w14:textId="070133E3"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3CA2591D" w:rsidR="00EF5B82" w:rsidRPr="00997AD7"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FE439B">
        <w:rPr>
          <w:sz w:val="24"/>
          <w:lang w:val="en-US"/>
        </w:rPr>
        <w:t xml:space="preserve">Discussion on </w:t>
      </w:r>
      <w:r w:rsidR="001D638F">
        <w:rPr>
          <w:bCs/>
          <w:sz w:val="24"/>
          <w:lang w:eastAsia="ja-JP"/>
        </w:rPr>
        <w:t>e</w:t>
      </w:r>
      <w:r w:rsidR="00A831A7" w:rsidRPr="00A831A7">
        <w:rPr>
          <w:bCs/>
          <w:sz w:val="24"/>
          <w:lang w:eastAsia="ja-JP"/>
        </w:rPr>
        <w:t>nhancement</w:t>
      </w:r>
      <w:r w:rsidR="001D638F">
        <w:rPr>
          <w:bCs/>
          <w:sz w:val="24"/>
          <w:lang w:eastAsia="ja-JP"/>
        </w:rPr>
        <w:t>s for unlicensed band URLLC</w:t>
      </w:r>
    </w:p>
    <w:p w14:paraId="327D0F9A" w14:textId="5F63051F"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2" w:name="Source"/>
      <w:bookmarkEnd w:id="2"/>
      <w:r w:rsidRPr="00034B54">
        <w:rPr>
          <w:sz w:val="24"/>
          <w:lang w:val="en-US"/>
        </w:rPr>
        <w:tab/>
      </w:r>
      <w:r w:rsidR="00A112E1">
        <w:rPr>
          <w:rFonts w:hint="eastAsia"/>
          <w:sz w:val="24"/>
          <w:lang w:val="en-US" w:eastAsia="ja-JP"/>
        </w:rPr>
        <w:t>8.3</w:t>
      </w:r>
      <w:r w:rsidR="00A831A7">
        <w:rPr>
          <w:rFonts w:hint="eastAsia"/>
          <w:sz w:val="24"/>
          <w:lang w:val="en-US" w:eastAsia="ja-JP"/>
        </w:rPr>
        <w:t>.2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3" w:name="DocumentFor"/>
      <w:bookmarkEnd w:id="3"/>
      <w:r w:rsidRPr="00034B54">
        <w:rPr>
          <w:rFonts w:ascii="Arial" w:hAnsi="Arial"/>
          <w:b/>
          <w:lang w:val="en-US"/>
        </w:rPr>
        <w:t xml:space="preserve"> </w:t>
      </w:r>
      <w:r w:rsidRPr="00034B54">
        <w:rPr>
          <w:rFonts w:ascii="Arial" w:hAnsi="Arial"/>
          <w:b/>
          <w:lang w:val="en-US"/>
        </w:rPr>
        <w:tab/>
        <w:t>Discussion and Decision</w:t>
      </w:r>
    </w:p>
    <w:p w14:paraId="759E5135" w14:textId="77777777"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AB2F4D6" w14:textId="5E1AF0A7" w:rsidR="00E853F5" w:rsidRDefault="00E853F5" w:rsidP="00E853F5">
      <w:pPr>
        <w:spacing w:afterLines="50" w:after="120"/>
        <w:jc w:val="both"/>
        <w:rPr>
          <w:rFonts w:eastAsia="ＭＳ 明朝"/>
          <w:sz w:val="22"/>
          <w:szCs w:val="22"/>
          <w:lang w:val="en-US"/>
        </w:rPr>
      </w:pPr>
      <w:r>
        <w:rPr>
          <w:rFonts w:eastAsia="ＭＳ 明朝"/>
          <w:sz w:val="22"/>
          <w:szCs w:val="22"/>
          <w:lang w:val="en-US"/>
        </w:rPr>
        <w:t xml:space="preserve">At RAN#88e meeting, </w:t>
      </w:r>
      <w:r w:rsidR="000A78F8">
        <w:rPr>
          <w:rFonts w:eastAsia="ＭＳ 明朝"/>
          <w:sz w:val="22"/>
          <w:szCs w:val="22"/>
          <w:lang w:val="en-US"/>
        </w:rPr>
        <w:t>revised WID on enhanced industrial internet of t</w:t>
      </w:r>
      <w:r w:rsidR="000A78F8" w:rsidRPr="000A78F8">
        <w:rPr>
          <w:rFonts w:eastAsia="ＭＳ 明朝"/>
          <w:sz w:val="22"/>
          <w:szCs w:val="22"/>
          <w:lang w:val="en-US"/>
        </w:rPr>
        <w:t xml:space="preserve">hings (IoT) and ultra-reliable and low latency communication (URLLC) support for NR </w:t>
      </w:r>
      <w:r>
        <w:rPr>
          <w:rFonts w:eastAsia="ＭＳ 明朝"/>
          <w:sz w:val="22"/>
          <w:szCs w:val="22"/>
          <w:lang w:val="en-US"/>
        </w:rPr>
        <w:t xml:space="preserve">was </w:t>
      </w:r>
      <w:r w:rsidRPr="005817F5">
        <w:rPr>
          <w:rFonts w:eastAsia="ＭＳ 明朝"/>
          <w:sz w:val="22"/>
          <w:szCs w:val="22"/>
          <w:lang w:val="en-US"/>
        </w:rPr>
        <w:t xml:space="preserve">approved </w:t>
      </w:r>
      <w:r>
        <w:rPr>
          <w:rFonts w:eastAsia="ＭＳ 明朝"/>
          <w:sz w:val="22"/>
          <w:szCs w:val="22"/>
          <w:lang w:val="en-US"/>
        </w:rPr>
        <w:t>with the objective as follows [1]:</w:t>
      </w:r>
    </w:p>
    <w:tbl>
      <w:tblPr>
        <w:tblStyle w:val="afa"/>
        <w:tblW w:w="0" w:type="auto"/>
        <w:tblLook w:val="04A0" w:firstRow="1" w:lastRow="0" w:firstColumn="1" w:lastColumn="0" w:noHBand="0" w:noVBand="1"/>
      </w:tblPr>
      <w:tblGrid>
        <w:gridCol w:w="9962"/>
      </w:tblGrid>
      <w:tr w:rsidR="00E853F5" w14:paraId="515FF01F" w14:textId="77777777" w:rsidTr="00852D15">
        <w:tc>
          <w:tcPr>
            <w:tcW w:w="9962" w:type="dxa"/>
          </w:tcPr>
          <w:p w14:paraId="05B4E74F" w14:textId="77777777" w:rsidR="000A78F8" w:rsidRPr="000A78F8" w:rsidRDefault="000A78F8" w:rsidP="00A82FDE">
            <w:pPr>
              <w:numPr>
                <w:ilvl w:val="0"/>
                <w:numId w:val="8"/>
              </w:numPr>
              <w:rPr>
                <w:rFonts w:eastAsia="SimSun"/>
                <w:sz w:val="20"/>
                <w:lang w:val="en-US" w:eastAsia="fi-FI"/>
              </w:rPr>
            </w:pPr>
            <w:r w:rsidRPr="000A78F8">
              <w:rPr>
                <w:rFonts w:eastAsia="SimSun"/>
                <w:sz w:val="20"/>
                <w:lang w:val="en-US" w:eastAsia="en-GB"/>
              </w:rPr>
              <w:t xml:space="preserve">Study, identify and specify if needed, required Physical Layer feedback enhancements for meeting URLLC requirements covering </w:t>
            </w:r>
          </w:p>
          <w:p w14:paraId="081A80A5" w14:textId="77777777" w:rsidR="000A78F8" w:rsidRPr="000A78F8" w:rsidRDefault="000A78F8" w:rsidP="00A82FDE">
            <w:pPr>
              <w:numPr>
                <w:ilvl w:val="2"/>
                <w:numId w:val="8"/>
              </w:numPr>
              <w:rPr>
                <w:rFonts w:eastAsia="SimSun"/>
                <w:sz w:val="20"/>
                <w:lang w:val="en-US" w:eastAsia="en-GB"/>
              </w:rPr>
            </w:pPr>
            <w:r w:rsidRPr="000A78F8">
              <w:rPr>
                <w:rFonts w:eastAsia="SimSun"/>
                <w:sz w:val="20"/>
                <w:lang w:val="en-US" w:eastAsia="en-GB"/>
              </w:rPr>
              <w:t>UE feedback enhancements for HARQ-ACK [RAN1]</w:t>
            </w:r>
          </w:p>
          <w:p w14:paraId="7BC5DD3B" w14:textId="77777777" w:rsidR="000A78F8" w:rsidRPr="000A78F8" w:rsidRDefault="000A78F8" w:rsidP="00A82FDE">
            <w:pPr>
              <w:numPr>
                <w:ilvl w:val="2"/>
                <w:numId w:val="8"/>
              </w:numPr>
              <w:rPr>
                <w:rFonts w:eastAsia="Times New Roman"/>
                <w:sz w:val="20"/>
                <w:lang w:val="en-US"/>
              </w:rPr>
            </w:pPr>
            <w:r w:rsidRPr="000A78F8">
              <w:rPr>
                <w:rFonts w:eastAsia="Times New Roman"/>
                <w:sz w:val="20"/>
                <w:lang w:val="en-US"/>
              </w:rPr>
              <w:t>CSI feedback enhancements to allow for more accurate MCS selection [RAN1]</w:t>
            </w:r>
          </w:p>
          <w:p w14:paraId="70C50F7A" w14:textId="77777777" w:rsidR="000A78F8" w:rsidRPr="000A78F8" w:rsidRDefault="000A78F8" w:rsidP="000A78F8">
            <w:pPr>
              <w:ind w:left="2160"/>
              <w:rPr>
                <w:rFonts w:eastAsia="Times New Roman"/>
                <w:sz w:val="20"/>
                <w:lang w:val="en-US"/>
              </w:rPr>
            </w:pPr>
            <w:r w:rsidRPr="000A78F8">
              <w:rPr>
                <w:rFonts w:eastAsia="Times New Roman"/>
                <w:sz w:val="20"/>
                <w:lang w:val="en-US"/>
              </w:rPr>
              <w:t xml:space="preserve">Note: DMRS-based CSI feedback is not in scope of this WI </w:t>
            </w:r>
          </w:p>
          <w:p w14:paraId="52EF9CA7" w14:textId="77777777" w:rsidR="000A78F8" w:rsidRPr="003A1FF2" w:rsidRDefault="000A78F8" w:rsidP="00A82FDE">
            <w:pPr>
              <w:numPr>
                <w:ilvl w:val="0"/>
                <w:numId w:val="8"/>
              </w:numPr>
              <w:jc w:val="both"/>
              <w:rPr>
                <w:rFonts w:eastAsia="SimSun"/>
                <w:sz w:val="20"/>
                <w:highlight w:val="yellow"/>
                <w:lang w:val="en-US" w:eastAsia="fi-FI"/>
              </w:rPr>
            </w:pPr>
            <w:bookmarkStart w:id="4" w:name="_Hlk26864288"/>
            <w:r w:rsidRPr="003A1FF2">
              <w:rPr>
                <w:rFonts w:eastAsia="SimSun"/>
                <w:sz w:val="20"/>
                <w:highlight w:val="yellow"/>
                <w:lang w:val="en-US" w:eastAsia="en-GB"/>
              </w:rPr>
              <w:t xml:space="preserve">Uplink enhancements for URLLC in unlicensed controlled environments </w:t>
            </w:r>
            <w:r w:rsidRPr="003A1FF2">
              <w:rPr>
                <w:rFonts w:eastAsia="SimSun"/>
                <w:sz w:val="20"/>
                <w:highlight w:val="yellow"/>
                <w:lang w:val="en-US"/>
              </w:rPr>
              <w:t>[RAN1, RAN2]:</w:t>
            </w:r>
          </w:p>
          <w:p w14:paraId="4D598AB5" w14:textId="77777777" w:rsidR="000A78F8" w:rsidRPr="003A1FF2" w:rsidRDefault="000A78F8" w:rsidP="00A82FDE">
            <w:pPr>
              <w:numPr>
                <w:ilvl w:val="1"/>
                <w:numId w:val="8"/>
              </w:numPr>
              <w:jc w:val="both"/>
              <w:rPr>
                <w:rFonts w:eastAsia="SimSun"/>
                <w:sz w:val="20"/>
                <w:highlight w:val="yellow"/>
                <w:lang w:eastAsia="fi-FI"/>
              </w:rPr>
            </w:pPr>
            <w:r w:rsidRPr="003A1FF2">
              <w:rPr>
                <w:rFonts w:eastAsia="SimSun"/>
                <w:sz w:val="20"/>
                <w:highlight w:val="yellow"/>
                <w:lang w:eastAsia="fi-FI"/>
              </w:rPr>
              <w:t xml:space="preserve"> </w:t>
            </w:r>
            <w:r w:rsidRPr="003A1FF2">
              <w:rPr>
                <w:rFonts w:eastAsia="SimSun"/>
                <w:sz w:val="20"/>
                <w:highlight w:val="yellow"/>
                <w:lang w:val="en-US" w:eastAsia="fi-FI"/>
              </w:rPr>
              <w:t>Specify support for UE-initiated COT for FBE with minimum specification effort</w:t>
            </w:r>
          </w:p>
          <w:p w14:paraId="7F2B2C00" w14:textId="77777777" w:rsidR="000A78F8" w:rsidRPr="003A1FF2" w:rsidRDefault="000A78F8" w:rsidP="00A82FDE">
            <w:pPr>
              <w:numPr>
                <w:ilvl w:val="1"/>
                <w:numId w:val="8"/>
              </w:numPr>
              <w:jc w:val="both"/>
              <w:rPr>
                <w:rFonts w:eastAsia="SimSun"/>
                <w:sz w:val="20"/>
                <w:highlight w:val="yellow"/>
                <w:lang w:eastAsia="fi-FI"/>
              </w:rPr>
            </w:pPr>
            <w:r w:rsidRPr="003A1FF2">
              <w:rPr>
                <w:rFonts w:eastAsia="SimSun"/>
                <w:sz w:val="20"/>
                <w:highlight w:val="yellow"/>
                <w:lang w:eastAsia="fi-FI"/>
              </w:rPr>
              <w:t xml:space="preserve"> </w:t>
            </w:r>
            <w:r w:rsidRPr="003A1FF2">
              <w:rPr>
                <w:rFonts w:eastAsia="SimSun"/>
                <w:sz w:val="20"/>
                <w:highlight w:val="yellow"/>
                <w:lang w:val="en-US" w:eastAsia="fi-FI"/>
              </w:rPr>
              <w:t>Harmonizing UL configured-grant enhancements in NR-U and URLLC introduced in Rel-16 to be applicable for unlicensed spectrum</w:t>
            </w:r>
          </w:p>
          <w:bookmarkEnd w:id="4"/>
          <w:p w14:paraId="302701D9" w14:textId="77777777" w:rsidR="000A78F8" w:rsidRPr="000A78F8" w:rsidRDefault="000A78F8" w:rsidP="00A82FDE">
            <w:pPr>
              <w:numPr>
                <w:ilvl w:val="0"/>
                <w:numId w:val="8"/>
              </w:numPr>
              <w:jc w:val="both"/>
              <w:rPr>
                <w:rFonts w:eastAsia="SimSun"/>
                <w:bCs/>
                <w:sz w:val="20"/>
                <w:lang w:val="en-US" w:eastAsia="en-GB"/>
              </w:rPr>
            </w:pPr>
            <w:r w:rsidRPr="000A78F8">
              <w:rPr>
                <w:rFonts w:eastAsia="SimSun"/>
                <w:sz w:val="20"/>
              </w:rPr>
              <w:t>Intra-UE multiplexing and prioritization of traffic with different priority</w:t>
            </w:r>
            <w:r w:rsidRPr="000A78F8">
              <w:rPr>
                <w:rFonts w:eastAsia="SimSun"/>
                <w:sz w:val="20"/>
                <w:lang w:eastAsia="en-GB"/>
              </w:rPr>
              <w:t xml:space="preserve"> </w:t>
            </w:r>
            <w:r w:rsidRPr="000A78F8">
              <w:rPr>
                <w:rFonts w:eastAsia="SimSun"/>
                <w:sz w:val="20"/>
              </w:rPr>
              <w:t>based on work done in Rel.16 [RAN1]:</w:t>
            </w:r>
          </w:p>
          <w:p w14:paraId="637EA57E" w14:textId="77777777" w:rsidR="000A78F8" w:rsidRPr="000A78F8" w:rsidRDefault="000A78F8" w:rsidP="00A82FDE">
            <w:pPr>
              <w:numPr>
                <w:ilvl w:val="0"/>
                <w:numId w:val="10"/>
              </w:numPr>
              <w:ind w:left="1434" w:hanging="357"/>
              <w:jc w:val="both"/>
              <w:rPr>
                <w:rFonts w:eastAsia="SimSun"/>
                <w:bCs/>
                <w:sz w:val="20"/>
                <w:lang w:val="en-US" w:eastAsia="en-GB"/>
              </w:rPr>
            </w:pPr>
            <w:r w:rsidRPr="000A78F8">
              <w:rPr>
                <w:rFonts w:eastAsia="SimSun"/>
                <w:bCs/>
                <w:sz w:val="20"/>
                <w:lang w:val="en-US" w:eastAsia="en-GB"/>
              </w:rPr>
              <w:t xml:space="preserve">Specify multiplexing behavior among HARQ-ACK/SR/CSI and PUSCH for traffic with different priorities, including the cases with UCI on PUCCH and UCI on PUSCH. </w:t>
            </w:r>
          </w:p>
          <w:p w14:paraId="64CD7348" w14:textId="6568CC39" w:rsidR="000A78F8" w:rsidRPr="000A78F8" w:rsidRDefault="000A78F8" w:rsidP="00A82FDE">
            <w:pPr>
              <w:numPr>
                <w:ilvl w:val="0"/>
                <w:numId w:val="10"/>
              </w:numPr>
              <w:jc w:val="both"/>
              <w:rPr>
                <w:rFonts w:eastAsia="Times New Roman"/>
                <w:sz w:val="20"/>
                <w:lang w:val="en-US" w:eastAsia="zh-TW"/>
              </w:rPr>
            </w:pPr>
            <w:r w:rsidRPr="000A78F8">
              <w:rPr>
                <w:rFonts w:eastAsia="Times New Roman"/>
                <w:sz w:val="20"/>
                <w:lang w:val="en-US" w:eastAsia="en-GB"/>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38CC89F1" w14:textId="77777777" w:rsidR="000A78F8" w:rsidRPr="000A78F8" w:rsidRDefault="000A78F8" w:rsidP="00A82FDE">
            <w:pPr>
              <w:numPr>
                <w:ilvl w:val="0"/>
                <w:numId w:val="8"/>
              </w:numPr>
              <w:rPr>
                <w:rFonts w:eastAsia="SimSun"/>
                <w:bCs/>
                <w:sz w:val="20"/>
                <w:lang w:eastAsia="en-GB"/>
              </w:rPr>
            </w:pPr>
            <w:r w:rsidRPr="000A78F8">
              <w:rPr>
                <w:rFonts w:eastAsia="SimSun"/>
                <w:bCs/>
                <w:sz w:val="20"/>
                <w:lang w:eastAsia="en-GB"/>
              </w:rPr>
              <w:t>Enhancements for support of time synchronization:</w:t>
            </w:r>
          </w:p>
          <w:p w14:paraId="19D4B4E6" w14:textId="77777777" w:rsidR="000A78F8" w:rsidRPr="000A78F8" w:rsidRDefault="000A78F8" w:rsidP="00A82FDE">
            <w:pPr>
              <w:numPr>
                <w:ilvl w:val="0"/>
                <w:numId w:val="9"/>
              </w:numPr>
              <w:rPr>
                <w:rFonts w:eastAsia="SimSun"/>
                <w:bCs/>
                <w:sz w:val="20"/>
                <w:lang w:eastAsia="en-GB"/>
              </w:rPr>
            </w:pPr>
            <w:r w:rsidRPr="000A78F8">
              <w:rPr>
                <w:rFonts w:eastAsia="SimSun"/>
                <w:sz w:val="20"/>
                <w:lang w:val="en-US" w:eastAsia="en-GB"/>
              </w:rPr>
              <w:t>RAN impacts of SA2 work on uplink time synchronization for TSN, if any.</w:t>
            </w:r>
            <w:r w:rsidRPr="000A78F8">
              <w:rPr>
                <w:rFonts w:eastAsia="SimSun"/>
                <w:bCs/>
                <w:sz w:val="20"/>
                <w:lang w:eastAsia="en-GB"/>
              </w:rPr>
              <w:t xml:space="preserve"> [RAN2]</w:t>
            </w:r>
          </w:p>
          <w:p w14:paraId="102CA6F0" w14:textId="77777777" w:rsidR="000A78F8" w:rsidRPr="000A78F8" w:rsidRDefault="000A78F8" w:rsidP="00A82FDE">
            <w:pPr>
              <w:numPr>
                <w:ilvl w:val="0"/>
                <w:numId w:val="9"/>
              </w:numPr>
              <w:ind w:left="1434" w:hanging="357"/>
              <w:rPr>
                <w:rFonts w:eastAsia="SimSun"/>
                <w:bCs/>
                <w:sz w:val="20"/>
                <w:lang w:eastAsia="en-GB"/>
              </w:rPr>
            </w:pPr>
            <w:r w:rsidRPr="000A78F8">
              <w:rPr>
                <w:rFonts w:eastAsia="SimSun"/>
                <w:bCs/>
                <w:sz w:val="20"/>
                <w:lang w:eastAsia="en-GB"/>
              </w:rPr>
              <w:t>Propagation delay compensation enhancements (including mobility issues, if any). [RAN2, RAN1, RAN3, RAN4]</w:t>
            </w:r>
          </w:p>
          <w:p w14:paraId="3083F522" w14:textId="130F6FF9" w:rsidR="00E853F5" w:rsidRPr="000A78F8" w:rsidRDefault="000A78F8" w:rsidP="00A82FDE">
            <w:pPr>
              <w:numPr>
                <w:ilvl w:val="0"/>
                <w:numId w:val="8"/>
              </w:numPr>
              <w:rPr>
                <w:rFonts w:eastAsia="SimSun"/>
                <w:bCs/>
                <w:sz w:val="20"/>
                <w:lang w:eastAsia="en-GB"/>
              </w:rPr>
            </w:pPr>
            <w:r w:rsidRPr="000A78F8">
              <w:rPr>
                <w:rFonts w:eastAsia="SimSun"/>
                <w:bCs/>
                <w:sz w:val="20"/>
                <w:lang w:eastAsia="en-GB"/>
              </w:rPr>
              <w:t xml:space="preserve">RAN enhancements based on new QoS related parameters if any, e.g. survival time, burst spread, decided in SA2. [RAN2, RAN3] </w:t>
            </w:r>
          </w:p>
        </w:tc>
      </w:tr>
    </w:tbl>
    <w:p w14:paraId="688BACC7" w14:textId="77777777" w:rsidR="00E853F5" w:rsidRDefault="00E853F5" w:rsidP="00E853F5">
      <w:pPr>
        <w:spacing w:afterLines="50" w:after="120"/>
        <w:jc w:val="both"/>
        <w:rPr>
          <w:rFonts w:eastAsia="ＭＳ 明朝"/>
          <w:sz w:val="22"/>
          <w:szCs w:val="22"/>
          <w:lang w:val="en-US"/>
        </w:rPr>
      </w:pPr>
    </w:p>
    <w:p w14:paraId="55037821" w14:textId="76216FA6" w:rsidR="003A1FF2" w:rsidRDefault="003A1FF2" w:rsidP="003A1FF2">
      <w:pPr>
        <w:spacing w:afterLines="50" w:after="120"/>
        <w:jc w:val="both"/>
        <w:rPr>
          <w:rFonts w:eastAsia="ＭＳ 明朝"/>
          <w:sz w:val="22"/>
          <w:szCs w:val="22"/>
          <w:lang w:val="en-US"/>
        </w:rPr>
      </w:pPr>
      <w:r>
        <w:rPr>
          <w:rFonts w:eastAsia="ＭＳ 明朝" w:hint="eastAsia"/>
          <w:sz w:val="22"/>
          <w:szCs w:val="22"/>
          <w:lang w:val="en-US"/>
        </w:rPr>
        <w:t>At RAN1</w:t>
      </w:r>
      <w:r>
        <w:rPr>
          <w:rFonts w:eastAsia="ＭＳ 明朝"/>
          <w:sz w:val="22"/>
          <w:szCs w:val="22"/>
          <w:lang w:val="en-US"/>
        </w:rPr>
        <w:t xml:space="preserve">#102-e meeting, following agreements and conclusions related to </w:t>
      </w:r>
      <w:r w:rsidRPr="003A1FF2">
        <w:rPr>
          <w:rFonts w:eastAsia="ＭＳ 明朝"/>
          <w:bCs/>
          <w:sz w:val="22"/>
          <w:szCs w:val="22"/>
        </w:rPr>
        <w:t>enhancements for unlicensed band URLLC</w:t>
      </w:r>
      <w:r w:rsidRPr="00ED3814">
        <w:rPr>
          <w:rFonts w:eastAsia="ＭＳ 明朝"/>
          <w:sz w:val="22"/>
          <w:szCs w:val="22"/>
          <w:lang w:val="en-US"/>
        </w:rPr>
        <w:t xml:space="preserve"> </w:t>
      </w:r>
      <w:r>
        <w:rPr>
          <w:rFonts w:eastAsia="ＭＳ 明朝"/>
          <w:sz w:val="22"/>
          <w:szCs w:val="22"/>
          <w:lang w:val="en-US"/>
        </w:rPr>
        <w:t>were made [2]:</w:t>
      </w:r>
    </w:p>
    <w:tbl>
      <w:tblPr>
        <w:tblStyle w:val="afa"/>
        <w:tblW w:w="0" w:type="auto"/>
        <w:tblLook w:val="04A0" w:firstRow="1" w:lastRow="0" w:firstColumn="1" w:lastColumn="0" w:noHBand="0" w:noVBand="1"/>
      </w:tblPr>
      <w:tblGrid>
        <w:gridCol w:w="9962"/>
      </w:tblGrid>
      <w:tr w:rsidR="003A1FF2" w:rsidRPr="003A1FF2" w14:paraId="28758D5F" w14:textId="77777777" w:rsidTr="00E540AD">
        <w:tc>
          <w:tcPr>
            <w:tcW w:w="9962" w:type="dxa"/>
          </w:tcPr>
          <w:p w14:paraId="1FFDD052" w14:textId="77777777" w:rsidR="003A1FF2" w:rsidRPr="003A1FF2" w:rsidRDefault="003A1FF2" w:rsidP="003A1FF2">
            <w:pPr>
              <w:spacing w:after="0"/>
              <w:rPr>
                <w:sz w:val="20"/>
                <w:highlight w:val="green"/>
              </w:rPr>
            </w:pPr>
            <w:r w:rsidRPr="003A1FF2">
              <w:rPr>
                <w:sz w:val="20"/>
                <w:highlight w:val="green"/>
              </w:rPr>
              <w:t>Agreements:</w:t>
            </w:r>
          </w:p>
          <w:p w14:paraId="672DAFBB" w14:textId="77777777" w:rsidR="003A1FF2" w:rsidRPr="003A1FF2" w:rsidRDefault="003A1FF2" w:rsidP="00A82FDE">
            <w:pPr>
              <w:numPr>
                <w:ilvl w:val="0"/>
                <w:numId w:val="11"/>
              </w:numPr>
              <w:spacing w:after="0"/>
              <w:rPr>
                <w:sz w:val="20"/>
              </w:rPr>
            </w:pPr>
            <w:r w:rsidRPr="003A1FF2">
              <w:rPr>
                <w:sz w:val="20"/>
              </w:rPr>
              <w:t>For semi-static channel access mode,</w:t>
            </w:r>
          </w:p>
          <w:p w14:paraId="5EBB7FE2" w14:textId="77777777" w:rsidR="003A1FF2" w:rsidRPr="003A1FF2" w:rsidRDefault="003A1FF2" w:rsidP="00A82FDE">
            <w:pPr>
              <w:numPr>
                <w:ilvl w:val="0"/>
                <w:numId w:val="11"/>
              </w:numPr>
              <w:spacing w:after="0"/>
              <w:ind w:left="720"/>
              <w:rPr>
                <w:sz w:val="20"/>
              </w:rPr>
            </w:pPr>
            <w:r w:rsidRPr="003A1FF2">
              <w:rPr>
                <w:sz w:val="20"/>
              </w:rPr>
              <w:t>If sensing is needed, it is performed immediately before the configured/scheduled transmission opportunity.</w:t>
            </w:r>
          </w:p>
          <w:p w14:paraId="5A25F0F8" w14:textId="77777777" w:rsidR="003A1FF2" w:rsidRPr="003A1FF2" w:rsidRDefault="003A1FF2" w:rsidP="00A82FDE">
            <w:pPr>
              <w:numPr>
                <w:ilvl w:val="0"/>
                <w:numId w:val="11"/>
              </w:numPr>
              <w:spacing w:after="0"/>
              <w:ind w:left="720"/>
              <w:rPr>
                <w:sz w:val="20"/>
              </w:rPr>
            </w:pPr>
            <w:r w:rsidRPr="003A1FF2">
              <w:rPr>
                <w:sz w:val="20"/>
              </w:rPr>
              <w:t>For operation with semi-static channel access, the Rel-16 random starting offsets for UL configured grants with Full BW allocation when UE initiates a COT, is not supported.</w:t>
            </w:r>
          </w:p>
          <w:p w14:paraId="7C9A3B33" w14:textId="77777777" w:rsidR="003A1FF2" w:rsidRPr="003A1FF2" w:rsidRDefault="003A1FF2" w:rsidP="003A1FF2">
            <w:pPr>
              <w:pStyle w:val="afc"/>
              <w:spacing w:after="0"/>
              <w:ind w:leftChars="0" w:left="0"/>
              <w:contextualSpacing/>
              <w:rPr>
                <w:sz w:val="20"/>
              </w:rPr>
            </w:pPr>
          </w:p>
          <w:p w14:paraId="43DDFCF4" w14:textId="77777777" w:rsidR="003A1FF2" w:rsidRPr="003A1FF2" w:rsidRDefault="003A1FF2" w:rsidP="003A1FF2">
            <w:pPr>
              <w:spacing w:after="0"/>
              <w:rPr>
                <w:sz w:val="20"/>
                <w:highlight w:val="green"/>
              </w:rPr>
            </w:pPr>
            <w:r w:rsidRPr="003A1FF2">
              <w:rPr>
                <w:sz w:val="20"/>
                <w:highlight w:val="green"/>
              </w:rPr>
              <w:t>Agreements:</w:t>
            </w:r>
          </w:p>
          <w:p w14:paraId="363DE5FF" w14:textId="77777777" w:rsidR="003A1FF2" w:rsidRPr="003A1FF2" w:rsidRDefault="003A1FF2" w:rsidP="00A82FDE">
            <w:pPr>
              <w:numPr>
                <w:ilvl w:val="0"/>
                <w:numId w:val="12"/>
              </w:numPr>
              <w:spacing w:after="0"/>
              <w:ind w:left="360"/>
              <w:rPr>
                <w:sz w:val="20"/>
                <w:lang w:eastAsia="ko-KR"/>
              </w:rPr>
            </w:pPr>
            <w:r w:rsidRPr="003A1FF2">
              <w:rPr>
                <w:sz w:val="20"/>
              </w:rPr>
              <w:t>For semi-static channel access mode,</w:t>
            </w:r>
          </w:p>
          <w:p w14:paraId="7FAD3ACE" w14:textId="77777777" w:rsidR="003A1FF2" w:rsidRPr="003A1FF2" w:rsidRDefault="003A1FF2" w:rsidP="00A82FDE">
            <w:pPr>
              <w:numPr>
                <w:ilvl w:val="1"/>
                <w:numId w:val="13"/>
              </w:numPr>
              <w:spacing w:after="0"/>
              <w:ind w:left="1080"/>
              <w:rPr>
                <w:sz w:val="20"/>
                <w:lang w:eastAsia="en-US"/>
              </w:rPr>
            </w:pPr>
            <w:r w:rsidRPr="003A1FF2">
              <w:rPr>
                <w:sz w:val="20"/>
              </w:rPr>
              <w:t xml:space="preserve">When gNB operates as an initiating device </w:t>
            </w:r>
          </w:p>
          <w:p w14:paraId="33B5E281" w14:textId="77777777" w:rsidR="003A1FF2" w:rsidRPr="003A1FF2" w:rsidRDefault="003A1FF2" w:rsidP="00A82FDE">
            <w:pPr>
              <w:numPr>
                <w:ilvl w:val="2"/>
                <w:numId w:val="13"/>
              </w:numPr>
              <w:spacing w:after="0"/>
              <w:ind w:left="1800"/>
              <w:rPr>
                <w:sz w:val="20"/>
              </w:rPr>
            </w:pPr>
            <w:r w:rsidRPr="003A1FF2">
              <w:rPr>
                <w:sz w:val="20"/>
              </w:rPr>
              <w:lastRenderedPageBreak/>
              <w:t>The gNB is not allowed to transmit during the idle period of any FFP associated with the gNB in which the gNB initates a COT</w:t>
            </w:r>
          </w:p>
          <w:p w14:paraId="63BF3778" w14:textId="77777777" w:rsidR="003A1FF2" w:rsidRPr="003A1FF2" w:rsidRDefault="003A1FF2" w:rsidP="00A82FDE">
            <w:pPr>
              <w:numPr>
                <w:ilvl w:val="1"/>
                <w:numId w:val="13"/>
              </w:numPr>
              <w:spacing w:after="0"/>
              <w:ind w:left="1080"/>
              <w:rPr>
                <w:sz w:val="20"/>
              </w:rPr>
            </w:pPr>
            <w:r w:rsidRPr="003A1FF2">
              <w:rPr>
                <w:sz w:val="20"/>
              </w:rPr>
              <w:t xml:space="preserve">When a UE operates as an initiating device </w:t>
            </w:r>
          </w:p>
          <w:p w14:paraId="39BFD0CF" w14:textId="77777777" w:rsidR="003A1FF2" w:rsidRPr="003A1FF2" w:rsidRDefault="003A1FF2" w:rsidP="00A82FDE">
            <w:pPr>
              <w:numPr>
                <w:ilvl w:val="2"/>
                <w:numId w:val="13"/>
              </w:numPr>
              <w:spacing w:after="0"/>
              <w:ind w:left="1800"/>
              <w:rPr>
                <w:sz w:val="20"/>
              </w:rPr>
            </w:pPr>
            <w:r w:rsidRPr="003A1FF2">
              <w:rPr>
                <w:sz w:val="20"/>
              </w:rPr>
              <w:t>The UE is not allowed to transmit during the idle period of any FFP associated with the UE in which the UE initates a COT</w:t>
            </w:r>
          </w:p>
          <w:p w14:paraId="0EBA635A" w14:textId="77777777" w:rsidR="003A1FF2" w:rsidRPr="003A1FF2" w:rsidRDefault="003A1FF2" w:rsidP="00A82FDE">
            <w:pPr>
              <w:numPr>
                <w:ilvl w:val="1"/>
                <w:numId w:val="13"/>
              </w:numPr>
              <w:spacing w:after="0"/>
              <w:ind w:left="1080"/>
              <w:rPr>
                <w:sz w:val="20"/>
              </w:rPr>
            </w:pPr>
            <w:r w:rsidRPr="003A1FF2">
              <w:rPr>
                <w:sz w:val="20"/>
              </w:rPr>
              <w:t>When a UE shares a COT initiated by the gNB during an FFP associated with the gNB</w:t>
            </w:r>
          </w:p>
          <w:p w14:paraId="1F82387B" w14:textId="77777777" w:rsidR="003A1FF2" w:rsidRPr="003A1FF2" w:rsidRDefault="003A1FF2" w:rsidP="00A82FDE">
            <w:pPr>
              <w:numPr>
                <w:ilvl w:val="2"/>
                <w:numId w:val="13"/>
              </w:numPr>
              <w:spacing w:after="0"/>
              <w:ind w:left="1800"/>
              <w:rPr>
                <w:sz w:val="20"/>
              </w:rPr>
            </w:pPr>
            <w:r w:rsidRPr="003A1FF2">
              <w:rPr>
                <w:sz w:val="20"/>
              </w:rPr>
              <w:t>The UE is not allowed to transmit during the idle period of that FFP in which the UE shares the COT initiated by the gNB</w:t>
            </w:r>
          </w:p>
          <w:p w14:paraId="61BD96C8" w14:textId="77777777" w:rsidR="003A1FF2" w:rsidRPr="003A1FF2" w:rsidRDefault="003A1FF2" w:rsidP="00A82FDE">
            <w:pPr>
              <w:numPr>
                <w:ilvl w:val="1"/>
                <w:numId w:val="13"/>
              </w:numPr>
              <w:spacing w:after="0"/>
              <w:ind w:left="1080"/>
              <w:rPr>
                <w:sz w:val="20"/>
              </w:rPr>
            </w:pPr>
            <w:r w:rsidRPr="003A1FF2">
              <w:rPr>
                <w:sz w:val="20"/>
              </w:rPr>
              <w:t>When the gNB shares a COT initiated by a UE during an FFP associated with the UE</w:t>
            </w:r>
          </w:p>
          <w:p w14:paraId="414E572A" w14:textId="77777777" w:rsidR="003A1FF2" w:rsidRPr="003A1FF2" w:rsidRDefault="003A1FF2" w:rsidP="00A82FDE">
            <w:pPr>
              <w:numPr>
                <w:ilvl w:val="2"/>
                <w:numId w:val="13"/>
              </w:numPr>
              <w:spacing w:after="0"/>
              <w:ind w:left="1800"/>
              <w:rPr>
                <w:sz w:val="20"/>
              </w:rPr>
            </w:pPr>
            <w:r w:rsidRPr="003A1FF2">
              <w:rPr>
                <w:sz w:val="20"/>
              </w:rPr>
              <w:t xml:space="preserve">The gNB is not allowed to transmit during the idle period of that </w:t>
            </w:r>
            <w:r w:rsidRPr="003A1FF2">
              <w:rPr>
                <w:strike/>
                <w:sz w:val="20"/>
              </w:rPr>
              <w:t>the</w:t>
            </w:r>
            <w:r w:rsidRPr="003A1FF2">
              <w:rPr>
                <w:sz w:val="20"/>
              </w:rPr>
              <w:t xml:space="preserve"> FFP in which the gNB shares the COT initiated by the UE</w:t>
            </w:r>
          </w:p>
          <w:p w14:paraId="7572BE4C" w14:textId="77777777" w:rsidR="003A1FF2" w:rsidRPr="003A1FF2" w:rsidRDefault="003A1FF2" w:rsidP="00A82FDE">
            <w:pPr>
              <w:numPr>
                <w:ilvl w:val="1"/>
                <w:numId w:val="13"/>
              </w:numPr>
              <w:spacing w:after="0"/>
              <w:ind w:left="1080"/>
              <w:rPr>
                <w:sz w:val="20"/>
              </w:rPr>
            </w:pPr>
            <w:r w:rsidRPr="003A1FF2">
              <w:rPr>
                <w:sz w:val="20"/>
              </w:rPr>
              <w:t>FFS whether/how to support additional restrictions to the idle period</w:t>
            </w:r>
          </w:p>
          <w:p w14:paraId="4DFB53DB" w14:textId="77777777" w:rsidR="003A1FF2" w:rsidRPr="003A1FF2" w:rsidRDefault="003A1FF2" w:rsidP="003A1FF2">
            <w:pPr>
              <w:pStyle w:val="afc"/>
              <w:spacing w:after="0"/>
              <w:ind w:leftChars="0" w:left="0"/>
              <w:contextualSpacing/>
              <w:rPr>
                <w:sz w:val="20"/>
              </w:rPr>
            </w:pPr>
          </w:p>
          <w:p w14:paraId="3DCCE847" w14:textId="77777777" w:rsidR="003A1FF2" w:rsidRPr="003A1FF2" w:rsidRDefault="003A1FF2" w:rsidP="003A1FF2">
            <w:pPr>
              <w:pStyle w:val="afc"/>
              <w:spacing w:after="0"/>
              <w:ind w:leftChars="0" w:left="0"/>
              <w:contextualSpacing/>
              <w:rPr>
                <w:sz w:val="20"/>
                <w:highlight w:val="green"/>
              </w:rPr>
            </w:pPr>
            <w:r w:rsidRPr="003A1FF2">
              <w:rPr>
                <w:sz w:val="20"/>
                <w:highlight w:val="green"/>
              </w:rPr>
              <w:t>Agreements:</w:t>
            </w:r>
          </w:p>
          <w:p w14:paraId="78F7BEF6" w14:textId="77777777" w:rsidR="003A1FF2" w:rsidRPr="003A1FF2" w:rsidRDefault="003A1FF2" w:rsidP="00A82FDE">
            <w:pPr>
              <w:numPr>
                <w:ilvl w:val="0"/>
                <w:numId w:val="14"/>
              </w:numPr>
              <w:spacing w:after="0"/>
              <w:rPr>
                <w:sz w:val="20"/>
              </w:rPr>
            </w:pPr>
            <w:r w:rsidRPr="003A1FF2">
              <w:rPr>
                <w:sz w:val="20"/>
              </w:rPr>
              <w:t>For semi-static channel access mode, support using the transmission of any scheduled/configured UL channel/signal to initiate a COT by a UE in RRC_CONNECTED mode</w:t>
            </w:r>
          </w:p>
          <w:p w14:paraId="5365D508" w14:textId="77777777" w:rsidR="003A1FF2" w:rsidRPr="00E512B4" w:rsidRDefault="003A1FF2" w:rsidP="00A82FDE">
            <w:pPr>
              <w:numPr>
                <w:ilvl w:val="1"/>
                <w:numId w:val="14"/>
              </w:numPr>
              <w:spacing w:after="0"/>
              <w:rPr>
                <w:sz w:val="20"/>
                <w:highlight w:val="yellow"/>
              </w:rPr>
            </w:pPr>
            <w:r w:rsidRPr="00E512B4">
              <w:rPr>
                <w:sz w:val="20"/>
                <w:highlight w:val="yellow"/>
              </w:rPr>
              <w:t>FFS the case when the UE is IDLE/INACTIVE mode</w:t>
            </w:r>
          </w:p>
          <w:p w14:paraId="04AA82E1" w14:textId="77777777" w:rsidR="003A1FF2" w:rsidRPr="003A1FF2" w:rsidRDefault="003A1FF2" w:rsidP="003A1FF2">
            <w:pPr>
              <w:pStyle w:val="afc"/>
              <w:spacing w:after="0"/>
              <w:ind w:leftChars="0" w:left="0"/>
              <w:contextualSpacing/>
              <w:rPr>
                <w:sz w:val="20"/>
              </w:rPr>
            </w:pPr>
          </w:p>
          <w:p w14:paraId="1C6BA597" w14:textId="77777777" w:rsidR="003A1FF2" w:rsidRPr="003A1FF2" w:rsidRDefault="003A1FF2" w:rsidP="003A1FF2">
            <w:pPr>
              <w:pStyle w:val="afc"/>
              <w:spacing w:after="0"/>
              <w:ind w:leftChars="0" w:left="0"/>
              <w:contextualSpacing/>
              <w:rPr>
                <w:sz w:val="20"/>
              </w:rPr>
            </w:pPr>
            <w:r w:rsidRPr="003A1FF2">
              <w:rPr>
                <w:sz w:val="20"/>
                <w:highlight w:val="green"/>
              </w:rPr>
              <w:t>Agreements</w:t>
            </w:r>
            <w:r w:rsidRPr="003A1FF2">
              <w:rPr>
                <w:sz w:val="20"/>
              </w:rPr>
              <w:t>:</w:t>
            </w:r>
          </w:p>
          <w:p w14:paraId="68BC6001" w14:textId="77777777" w:rsidR="003A1FF2" w:rsidRPr="003A1FF2" w:rsidRDefault="003A1FF2" w:rsidP="00A82FDE">
            <w:pPr>
              <w:numPr>
                <w:ilvl w:val="0"/>
                <w:numId w:val="15"/>
              </w:numPr>
              <w:spacing w:after="0"/>
              <w:rPr>
                <w:sz w:val="20"/>
              </w:rPr>
            </w:pPr>
            <w:r w:rsidRPr="003A1FF2">
              <w:rPr>
                <w:sz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1DBBF183" w14:textId="77777777" w:rsidR="003A1FF2" w:rsidRPr="003A1FF2" w:rsidRDefault="003A1FF2" w:rsidP="003A1FF2">
            <w:pPr>
              <w:pStyle w:val="afc"/>
              <w:spacing w:after="0"/>
              <w:ind w:leftChars="0" w:left="0"/>
              <w:contextualSpacing/>
              <w:rPr>
                <w:sz w:val="20"/>
              </w:rPr>
            </w:pPr>
          </w:p>
          <w:p w14:paraId="4E2CFEB0" w14:textId="77777777" w:rsidR="003A1FF2" w:rsidRPr="003A1FF2" w:rsidRDefault="003A1FF2" w:rsidP="003A1FF2">
            <w:pPr>
              <w:pStyle w:val="afc"/>
              <w:spacing w:after="0"/>
              <w:ind w:leftChars="0" w:left="0"/>
              <w:contextualSpacing/>
              <w:rPr>
                <w:sz w:val="20"/>
              </w:rPr>
            </w:pPr>
            <w:r w:rsidRPr="003A1FF2">
              <w:rPr>
                <w:sz w:val="20"/>
              </w:rPr>
              <w:t>Update on 8/26</w:t>
            </w:r>
          </w:p>
          <w:p w14:paraId="2F338672" w14:textId="77777777" w:rsidR="003A1FF2" w:rsidRPr="003A1FF2" w:rsidRDefault="003A1FF2" w:rsidP="003A1FF2">
            <w:pPr>
              <w:pStyle w:val="afc"/>
              <w:spacing w:after="0"/>
              <w:ind w:leftChars="0" w:left="0"/>
              <w:contextualSpacing/>
              <w:rPr>
                <w:sz w:val="20"/>
                <w:highlight w:val="green"/>
              </w:rPr>
            </w:pPr>
            <w:r w:rsidRPr="003A1FF2">
              <w:rPr>
                <w:sz w:val="20"/>
                <w:highlight w:val="green"/>
              </w:rPr>
              <w:t>Agreements:</w:t>
            </w:r>
          </w:p>
          <w:p w14:paraId="66B99B74" w14:textId="77777777" w:rsidR="003A1FF2" w:rsidRPr="003A1FF2" w:rsidRDefault="003A1FF2" w:rsidP="00A82FDE">
            <w:pPr>
              <w:numPr>
                <w:ilvl w:val="0"/>
                <w:numId w:val="16"/>
              </w:numPr>
              <w:spacing w:after="0"/>
              <w:rPr>
                <w:sz w:val="20"/>
              </w:rPr>
            </w:pPr>
            <w:r w:rsidRPr="003A1FF2">
              <w:rPr>
                <w:sz w:val="20"/>
              </w:rPr>
              <w:t>At least for FBE, configuration of (</w:t>
            </w:r>
            <w:r w:rsidRPr="003A1FF2">
              <w:rPr>
                <w:i/>
                <w:iCs/>
                <w:sz w:val="20"/>
              </w:rPr>
              <w:t>cg-RetransmissionTimer</w:t>
            </w:r>
            <w:r w:rsidRPr="003A1FF2">
              <w:rPr>
                <w:sz w:val="20"/>
              </w:rPr>
              <w:t>) should not be mandated when configured grant Type 1 or Type 2 are configured on unlicensed spectrum.</w:t>
            </w:r>
          </w:p>
          <w:p w14:paraId="798D9B63" w14:textId="77777777" w:rsidR="003A1FF2" w:rsidRPr="003A1FF2" w:rsidRDefault="003A1FF2" w:rsidP="003A1FF2">
            <w:pPr>
              <w:spacing w:after="0"/>
              <w:ind w:left="300"/>
              <w:rPr>
                <w:sz w:val="20"/>
              </w:rPr>
            </w:pPr>
          </w:p>
          <w:p w14:paraId="488F1488" w14:textId="77777777" w:rsidR="003A1FF2" w:rsidRPr="003A1FF2" w:rsidRDefault="003A1FF2" w:rsidP="003A1FF2">
            <w:pPr>
              <w:pStyle w:val="afc"/>
              <w:spacing w:after="0"/>
              <w:ind w:leftChars="0" w:left="0"/>
              <w:contextualSpacing/>
              <w:rPr>
                <w:b/>
                <w:bCs/>
                <w:sz w:val="20"/>
                <w:u w:val="single"/>
              </w:rPr>
            </w:pPr>
            <w:r w:rsidRPr="003A1FF2">
              <w:rPr>
                <w:b/>
                <w:bCs/>
                <w:sz w:val="20"/>
                <w:u w:val="single"/>
              </w:rPr>
              <w:t>Conclusion:</w:t>
            </w:r>
          </w:p>
          <w:p w14:paraId="34139114" w14:textId="77777777" w:rsidR="003A1FF2" w:rsidRPr="003A1FF2" w:rsidRDefault="003A1FF2" w:rsidP="003A1FF2">
            <w:pPr>
              <w:pStyle w:val="afc"/>
              <w:spacing w:after="0"/>
              <w:ind w:leftChars="0" w:left="0"/>
              <w:contextualSpacing/>
              <w:rPr>
                <w:sz w:val="20"/>
              </w:rPr>
            </w:pPr>
            <w:r w:rsidRPr="00E512B4">
              <w:rPr>
                <w:sz w:val="20"/>
                <w:highlight w:val="yellow"/>
              </w:rPr>
              <w:t>Further study and decide how to harmonize the CG features for Rel-16 URLLC and Rel-16 NR-U</w:t>
            </w:r>
            <w:r w:rsidRPr="003A1FF2">
              <w:rPr>
                <w:sz w:val="20"/>
              </w:rPr>
              <w:t xml:space="preserve">. Table 1 in </w:t>
            </w:r>
            <w:hyperlink r:id="rId8" w:history="1">
              <w:r w:rsidRPr="003A1FF2">
                <w:rPr>
                  <w:rStyle w:val="af3"/>
                  <w:rFonts w:eastAsia="ＭＳ ゴシック"/>
                  <w:color w:val="auto"/>
                  <w:sz w:val="20"/>
                </w:rPr>
                <w:t>R1-2005376</w:t>
              </w:r>
            </w:hyperlink>
            <w:r w:rsidRPr="003A1FF2">
              <w:rPr>
                <w:sz w:val="20"/>
              </w:rPr>
              <w:t xml:space="preserve"> can be used as a starting point for the corresponding discussion and decision.</w:t>
            </w:r>
          </w:p>
          <w:p w14:paraId="6DB186C7" w14:textId="77777777" w:rsidR="003A1FF2" w:rsidRPr="003A1FF2" w:rsidRDefault="003A1FF2" w:rsidP="003A1FF2">
            <w:pPr>
              <w:pStyle w:val="afc"/>
              <w:spacing w:after="0"/>
              <w:ind w:leftChars="0" w:left="0"/>
              <w:contextualSpacing/>
              <w:rPr>
                <w:sz w:val="20"/>
              </w:rPr>
            </w:pPr>
          </w:p>
          <w:p w14:paraId="4E8C6A51" w14:textId="77777777" w:rsidR="003A1FF2" w:rsidRPr="003A1FF2" w:rsidRDefault="003A1FF2" w:rsidP="003A1FF2">
            <w:pPr>
              <w:pStyle w:val="afc"/>
              <w:spacing w:after="0"/>
              <w:ind w:leftChars="0" w:left="0"/>
              <w:contextualSpacing/>
              <w:rPr>
                <w:sz w:val="20"/>
                <w:highlight w:val="green"/>
              </w:rPr>
            </w:pPr>
            <w:r w:rsidRPr="003A1FF2">
              <w:rPr>
                <w:sz w:val="20"/>
                <w:highlight w:val="green"/>
              </w:rPr>
              <w:t>Agreements:</w:t>
            </w:r>
          </w:p>
          <w:p w14:paraId="7BD78029" w14:textId="2FF4D384" w:rsidR="003A1FF2" w:rsidRDefault="003A1FF2" w:rsidP="00A82FDE">
            <w:pPr>
              <w:numPr>
                <w:ilvl w:val="0"/>
                <w:numId w:val="17"/>
              </w:numPr>
              <w:spacing w:after="0"/>
              <w:rPr>
                <w:sz w:val="20"/>
              </w:rPr>
            </w:pPr>
            <w:r w:rsidRPr="003A1FF2">
              <w:rPr>
                <w:sz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5E63408C" w14:textId="77777777" w:rsidR="003A1FF2" w:rsidRPr="003A1FF2" w:rsidRDefault="003A1FF2" w:rsidP="003A1FF2">
            <w:pPr>
              <w:spacing w:after="0"/>
              <w:rPr>
                <w:sz w:val="20"/>
              </w:rPr>
            </w:pPr>
          </w:p>
          <w:p w14:paraId="155CA3D3" w14:textId="77777777" w:rsidR="003A1FF2" w:rsidRPr="003A1FF2" w:rsidRDefault="003A1FF2" w:rsidP="003A1FF2">
            <w:pPr>
              <w:pStyle w:val="afc"/>
              <w:spacing w:after="0"/>
              <w:ind w:leftChars="0" w:left="0"/>
              <w:contextualSpacing/>
              <w:rPr>
                <w:sz w:val="20"/>
                <w:highlight w:val="green"/>
              </w:rPr>
            </w:pPr>
            <w:r w:rsidRPr="003A1FF2">
              <w:rPr>
                <w:sz w:val="20"/>
                <w:highlight w:val="green"/>
              </w:rPr>
              <w:t>Agreements:</w:t>
            </w:r>
          </w:p>
          <w:p w14:paraId="1E05A41B" w14:textId="1C0320D3" w:rsidR="003A1FF2" w:rsidRPr="003A1FF2" w:rsidRDefault="003A1FF2" w:rsidP="00A82FDE">
            <w:pPr>
              <w:numPr>
                <w:ilvl w:val="0"/>
                <w:numId w:val="15"/>
              </w:numPr>
              <w:spacing w:after="0"/>
              <w:rPr>
                <w:sz w:val="20"/>
              </w:rPr>
            </w:pPr>
            <w:r w:rsidRPr="003A1FF2">
              <w:rPr>
                <w:sz w:val="20"/>
              </w:rPr>
              <w:t>UE-to-gNB COT sharing in semi-static channel access mode is supported.</w:t>
            </w:r>
          </w:p>
          <w:p w14:paraId="59755A1A" w14:textId="77777777" w:rsidR="003A1FF2" w:rsidRPr="003A1FF2" w:rsidRDefault="003A1FF2" w:rsidP="00A82FDE">
            <w:pPr>
              <w:numPr>
                <w:ilvl w:val="1"/>
                <w:numId w:val="15"/>
              </w:numPr>
              <w:spacing w:after="0"/>
              <w:rPr>
                <w:sz w:val="20"/>
              </w:rPr>
            </w:pPr>
            <w:r w:rsidRPr="003A1FF2">
              <w:rPr>
                <w:sz w:val="20"/>
              </w:rPr>
              <w:t>The gNB determines a COT in an FFP associated to a UE, that is initiated by the UE, if the gNB detects a UL transmission from the UE starting from the beginning of the FFP and ending before the idle period of the FFP.</w:t>
            </w:r>
          </w:p>
          <w:p w14:paraId="060E7D6D" w14:textId="77777777" w:rsidR="003A1FF2" w:rsidRPr="00E512B4" w:rsidRDefault="003A1FF2" w:rsidP="00A82FDE">
            <w:pPr>
              <w:numPr>
                <w:ilvl w:val="2"/>
                <w:numId w:val="15"/>
              </w:numPr>
              <w:spacing w:after="0"/>
              <w:rPr>
                <w:sz w:val="20"/>
                <w:highlight w:val="yellow"/>
              </w:rPr>
            </w:pPr>
            <w:r w:rsidRPr="00E512B4">
              <w:rPr>
                <w:sz w:val="20"/>
                <w:highlight w:val="yellow"/>
              </w:rPr>
              <w:t>FFS details</w:t>
            </w:r>
          </w:p>
          <w:p w14:paraId="74EE7A3D" w14:textId="77777777" w:rsidR="003A1FF2" w:rsidRPr="003A1FF2" w:rsidRDefault="003A1FF2" w:rsidP="00A82FDE">
            <w:pPr>
              <w:numPr>
                <w:ilvl w:val="1"/>
                <w:numId w:val="15"/>
              </w:numPr>
              <w:spacing w:after="0"/>
              <w:rPr>
                <w:sz w:val="20"/>
              </w:rPr>
            </w:pPr>
            <w:r w:rsidRPr="003A1FF2">
              <w:rPr>
                <w:sz w:val="20"/>
              </w:rPr>
              <w:t>When the gNB determines a UE has initiated a COT in an FFP associated to the UE, the gNB can transmit within the FFP and before the idle period corresponding to the FFP.</w:t>
            </w:r>
          </w:p>
          <w:p w14:paraId="7BD46679" w14:textId="77777777" w:rsidR="003A1FF2" w:rsidRPr="00E512B4" w:rsidRDefault="003A1FF2" w:rsidP="00A82FDE">
            <w:pPr>
              <w:numPr>
                <w:ilvl w:val="2"/>
                <w:numId w:val="15"/>
              </w:numPr>
              <w:spacing w:after="0"/>
              <w:rPr>
                <w:sz w:val="20"/>
                <w:highlight w:val="yellow"/>
              </w:rPr>
            </w:pPr>
            <w:r w:rsidRPr="00E512B4">
              <w:rPr>
                <w:sz w:val="20"/>
                <w:highlight w:val="yellow"/>
              </w:rPr>
              <w:t>FFS whether/how UE to gNB COT sharing when the gap is &gt;16us</w:t>
            </w:r>
          </w:p>
          <w:p w14:paraId="7740B14F" w14:textId="77777777" w:rsidR="003A1FF2" w:rsidRDefault="003A1FF2" w:rsidP="003A1FF2">
            <w:pPr>
              <w:pStyle w:val="xmsonormal"/>
              <w:shd w:val="clear" w:color="auto" w:fill="FFFFFF"/>
              <w:spacing w:after="0"/>
              <w:ind w:left="360" w:hanging="360"/>
              <w:rPr>
                <w:rFonts w:ascii="Times New Roman" w:hAnsi="Times New Roman" w:cs="Times New Roman"/>
                <w:sz w:val="20"/>
                <w:szCs w:val="20"/>
                <w:highlight w:val="green"/>
                <w:bdr w:val="none" w:sz="0" w:space="0" w:color="auto" w:frame="1"/>
              </w:rPr>
            </w:pPr>
            <w:bookmarkStart w:id="5" w:name="_Hlk49462189"/>
          </w:p>
          <w:p w14:paraId="5B8A1231" w14:textId="2D3C2413" w:rsidR="003A1FF2" w:rsidRPr="003A1FF2" w:rsidRDefault="003A1FF2" w:rsidP="003A1FF2">
            <w:pPr>
              <w:pStyle w:val="xmsonormal"/>
              <w:shd w:val="clear" w:color="auto" w:fill="FFFFFF"/>
              <w:spacing w:after="0"/>
              <w:ind w:left="360" w:hanging="360"/>
              <w:rPr>
                <w:rFonts w:ascii="Times New Roman" w:hAnsi="Times New Roman" w:cs="Times New Roman"/>
                <w:sz w:val="20"/>
                <w:szCs w:val="20"/>
                <w:bdr w:val="none" w:sz="0" w:space="0" w:color="auto" w:frame="1"/>
              </w:rPr>
            </w:pPr>
            <w:r w:rsidRPr="003A1FF2">
              <w:rPr>
                <w:rFonts w:ascii="Times New Roman" w:hAnsi="Times New Roman" w:cs="Times New Roman"/>
                <w:sz w:val="20"/>
                <w:szCs w:val="20"/>
                <w:highlight w:val="green"/>
                <w:bdr w:val="none" w:sz="0" w:space="0" w:color="auto" w:frame="1"/>
              </w:rPr>
              <w:t>Agreements</w:t>
            </w:r>
            <w:r w:rsidRPr="003A1FF2">
              <w:rPr>
                <w:rFonts w:ascii="Times New Roman" w:hAnsi="Times New Roman" w:cs="Times New Roman"/>
                <w:sz w:val="20"/>
                <w:szCs w:val="20"/>
                <w:bdr w:val="none" w:sz="0" w:space="0" w:color="auto" w:frame="1"/>
              </w:rPr>
              <w:t>:</w:t>
            </w:r>
          </w:p>
          <w:bookmarkEnd w:id="5"/>
          <w:p w14:paraId="5AE8BB7D" w14:textId="77777777" w:rsidR="003A1FF2" w:rsidRPr="003A1FF2" w:rsidRDefault="003A1FF2" w:rsidP="003A1FF2">
            <w:pPr>
              <w:pStyle w:val="xmsonormal"/>
              <w:shd w:val="clear" w:color="auto" w:fill="FFFFFF"/>
              <w:spacing w:after="0"/>
              <w:ind w:left="360" w:hanging="360"/>
              <w:rPr>
                <w:rFonts w:ascii="Times New Roman" w:hAnsi="Times New Roman" w:cs="Times New Roman"/>
                <w:sz w:val="20"/>
                <w:szCs w:val="20"/>
              </w:rPr>
            </w:pPr>
            <w:r w:rsidRPr="003A1FF2">
              <w:rPr>
                <w:rFonts w:ascii="Times New Roman" w:hAnsi="Times New Roman" w:cs="Times New Roman"/>
                <w:sz w:val="20"/>
                <w:szCs w:val="20"/>
                <w:bdr w:val="none" w:sz="0" w:space="0" w:color="auto" w:frame="1"/>
              </w:rPr>
              <w:t>For semi-static channel access mode,</w:t>
            </w:r>
            <w:r w:rsidRPr="003A1FF2">
              <w:rPr>
                <w:rFonts w:ascii="Times New Roman" w:hAnsi="Times New Roman" w:cs="Times New Roman"/>
                <w:sz w:val="20"/>
                <w:szCs w:val="20"/>
              </w:rPr>
              <w:t> </w:t>
            </w:r>
          </w:p>
          <w:p w14:paraId="2D6D9483" w14:textId="77777777" w:rsidR="003A1FF2" w:rsidRPr="003A1FF2" w:rsidRDefault="003A1FF2" w:rsidP="003A1FF2">
            <w:pPr>
              <w:pStyle w:val="xmsonormal"/>
              <w:shd w:val="clear" w:color="auto" w:fill="FFFFFF"/>
              <w:spacing w:after="0"/>
              <w:ind w:left="720" w:hanging="360"/>
              <w:rPr>
                <w:rFonts w:ascii="Times New Roman" w:hAnsi="Times New Roman" w:cs="Times New Roman"/>
                <w:sz w:val="20"/>
                <w:szCs w:val="20"/>
              </w:rPr>
            </w:pPr>
            <w:r w:rsidRPr="003A1FF2">
              <w:rPr>
                <w:rFonts w:ascii="Times New Roman" w:hAnsi="Times New Roman" w:cs="Times New Roman"/>
                <w:sz w:val="20"/>
                <w:szCs w:val="20"/>
                <w:bdr w:val="none" w:sz="0" w:space="0" w:color="auto" w:frame="1"/>
              </w:rPr>
              <w:t>o    Start of FFP for UE-initiated COT can be different from the start of FFP for gNB-initiated COT.</w:t>
            </w:r>
            <w:r w:rsidRPr="003A1FF2">
              <w:rPr>
                <w:rFonts w:ascii="Times New Roman" w:hAnsi="Times New Roman" w:cs="Times New Roman"/>
                <w:sz w:val="20"/>
                <w:szCs w:val="20"/>
              </w:rPr>
              <w:t> </w:t>
            </w:r>
          </w:p>
          <w:p w14:paraId="5FE720DB" w14:textId="77777777" w:rsidR="003A1FF2" w:rsidRPr="003A1FF2" w:rsidRDefault="003A1FF2" w:rsidP="003A1FF2">
            <w:pPr>
              <w:pStyle w:val="xmsonormal"/>
              <w:shd w:val="clear" w:color="auto" w:fill="FFFFFF"/>
              <w:spacing w:after="0"/>
              <w:ind w:left="720" w:hanging="360"/>
              <w:rPr>
                <w:rFonts w:ascii="Times New Roman" w:hAnsi="Times New Roman" w:cs="Times New Roman"/>
                <w:sz w:val="20"/>
                <w:szCs w:val="20"/>
              </w:rPr>
            </w:pPr>
            <w:r w:rsidRPr="00E512B4">
              <w:rPr>
                <w:rFonts w:ascii="Times New Roman" w:hAnsi="Times New Roman" w:cs="Times New Roman"/>
                <w:sz w:val="20"/>
                <w:szCs w:val="20"/>
                <w:highlight w:val="yellow"/>
                <w:bdr w:val="none" w:sz="0" w:space="0" w:color="auto" w:frame="1"/>
              </w:rPr>
              <w:t>o    FFS: FFP Periodicity for UE-initiated COT can be different from the FFP periodicity for gNB-initiated COT.</w:t>
            </w:r>
            <w:r w:rsidRPr="003A1FF2">
              <w:rPr>
                <w:rFonts w:ascii="Times New Roman" w:hAnsi="Times New Roman" w:cs="Times New Roman"/>
                <w:sz w:val="20"/>
                <w:szCs w:val="20"/>
              </w:rPr>
              <w:t> </w:t>
            </w:r>
          </w:p>
          <w:p w14:paraId="40E46566" w14:textId="77777777" w:rsidR="003A1FF2" w:rsidRPr="003A1FF2" w:rsidRDefault="003A1FF2" w:rsidP="003A1FF2">
            <w:pPr>
              <w:spacing w:after="0"/>
              <w:rPr>
                <w:strike/>
                <w:sz w:val="20"/>
              </w:rPr>
            </w:pPr>
          </w:p>
          <w:p w14:paraId="1512CCDA" w14:textId="77777777" w:rsidR="003A1FF2" w:rsidRPr="003A1FF2" w:rsidRDefault="003A1FF2" w:rsidP="003A1FF2">
            <w:pPr>
              <w:pStyle w:val="xmsonormal"/>
              <w:shd w:val="clear" w:color="auto" w:fill="FFFFFF"/>
              <w:spacing w:after="0"/>
              <w:ind w:left="360" w:hanging="360"/>
              <w:rPr>
                <w:rFonts w:ascii="Times New Roman" w:hAnsi="Times New Roman" w:cs="Times New Roman"/>
                <w:sz w:val="20"/>
                <w:szCs w:val="20"/>
                <w:bdr w:val="none" w:sz="0" w:space="0" w:color="auto" w:frame="1"/>
              </w:rPr>
            </w:pPr>
            <w:r w:rsidRPr="003A1FF2">
              <w:rPr>
                <w:rFonts w:ascii="Times New Roman" w:hAnsi="Times New Roman" w:cs="Times New Roman"/>
                <w:sz w:val="20"/>
                <w:szCs w:val="20"/>
                <w:highlight w:val="green"/>
                <w:bdr w:val="none" w:sz="0" w:space="0" w:color="auto" w:frame="1"/>
              </w:rPr>
              <w:t>Agreements</w:t>
            </w:r>
            <w:r w:rsidRPr="003A1FF2">
              <w:rPr>
                <w:rFonts w:ascii="Times New Roman" w:hAnsi="Times New Roman" w:cs="Times New Roman"/>
                <w:sz w:val="20"/>
                <w:szCs w:val="20"/>
                <w:bdr w:val="none" w:sz="0" w:space="0" w:color="auto" w:frame="1"/>
              </w:rPr>
              <w:t>:</w:t>
            </w:r>
          </w:p>
          <w:p w14:paraId="0D499606" w14:textId="77777777" w:rsidR="003A1FF2" w:rsidRPr="003A1FF2" w:rsidRDefault="003A1FF2" w:rsidP="00A82FDE">
            <w:pPr>
              <w:numPr>
                <w:ilvl w:val="0"/>
                <w:numId w:val="18"/>
              </w:numPr>
              <w:spacing w:after="0"/>
              <w:rPr>
                <w:sz w:val="20"/>
              </w:rPr>
            </w:pPr>
            <w:r w:rsidRPr="003A1FF2">
              <w:rPr>
                <w:sz w:val="20"/>
              </w:rPr>
              <w:t>For semi-static channel access mode,</w:t>
            </w:r>
          </w:p>
          <w:p w14:paraId="5B0D1AF3" w14:textId="77777777" w:rsidR="003A1FF2" w:rsidRPr="003A1FF2" w:rsidRDefault="003A1FF2" w:rsidP="00A82FDE">
            <w:pPr>
              <w:numPr>
                <w:ilvl w:val="0"/>
                <w:numId w:val="19"/>
              </w:numPr>
              <w:spacing w:after="0"/>
              <w:rPr>
                <w:sz w:val="20"/>
              </w:rPr>
            </w:pPr>
            <w:r w:rsidRPr="003A1FF2">
              <w:rPr>
                <w:sz w:val="20"/>
              </w:rPr>
              <w:t xml:space="preserve">FFP parameters for UE-initiated COT can be provided to the UE by at least dedicated RRC signaling. </w:t>
            </w:r>
          </w:p>
          <w:p w14:paraId="20CFD404" w14:textId="77777777" w:rsidR="003A1FF2" w:rsidRPr="00E512B4" w:rsidRDefault="003A1FF2" w:rsidP="00A82FDE">
            <w:pPr>
              <w:numPr>
                <w:ilvl w:val="1"/>
                <w:numId w:val="19"/>
              </w:numPr>
              <w:spacing w:after="0"/>
              <w:rPr>
                <w:sz w:val="20"/>
                <w:highlight w:val="yellow"/>
              </w:rPr>
            </w:pPr>
            <w:r w:rsidRPr="00E512B4">
              <w:rPr>
                <w:sz w:val="20"/>
                <w:highlight w:val="yellow"/>
              </w:rPr>
              <w:t>FFS on to be provided by SIB-1</w:t>
            </w:r>
          </w:p>
          <w:p w14:paraId="28D2578D" w14:textId="2CE4BB61" w:rsidR="003A1FF2" w:rsidRPr="004016CE" w:rsidRDefault="003A1FF2" w:rsidP="00A82FDE">
            <w:pPr>
              <w:numPr>
                <w:ilvl w:val="0"/>
                <w:numId w:val="19"/>
              </w:numPr>
              <w:spacing w:after="0"/>
              <w:rPr>
                <w:sz w:val="20"/>
              </w:rPr>
            </w:pPr>
            <w:r w:rsidRPr="00E512B4">
              <w:rPr>
                <w:sz w:val="20"/>
                <w:highlight w:val="yellow"/>
              </w:rPr>
              <w:t>FFS whether the UE FFP periodicity is explicitly configured, or implicitly determined based on other higher layer parameters</w:t>
            </w:r>
          </w:p>
        </w:tc>
      </w:tr>
    </w:tbl>
    <w:p w14:paraId="40BD447D" w14:textId="77777777" w:rsidR="003A1FF2" w:rsidRDefault="003A1FF2" w:rsidP="003A1FF2">
      <w:pPr>
        <w:spacing w:afterLines="50" w:after="120"/>
        <w:jc w:val="both"/>
        <w:rPr>
          <w:rFonts w:eastAsia="ＭＳ 明朝"/>
          <w:sz w:val="22"/>
          <w:szCs w:val="22"/>
          <w:lang w:val="en-US"/>
        </w:rPr>
      </w:pPr>
    </w:p>
    <w:p w14:paraId="37F9341F" w14:textId="1E53F10D" w:rsidR="003A1FF2" w:rsidRPr="000C736F" w:rsidRDefault="003A1FF2" w:rsidP="003A1FF2">
      <w:pPr>
        <w:spacing w:afterLines="50" w:after="120"/>
        <w:jc w:val="both"/>
        <w:rPr>
          <w:rFonts w:eastAsia="ＭＳ 明朝"/>
          <w:sz w:val="22"/>
          <w:szCs w:val="22"/>
          <w:lang w:val="en-US"/>
        </w:rPr>
      </w:pPr>
      <w:r>
        <w:rPr>
          <w:rFonts w:eastAsia="ＭＳ 明朝"/>
          <w:sz w:val="22"/>
          <w:szCs w:val="22"/>
          <w:lang w:val="en-US"/>
        </w:rPr>
        <w:lastRenderedPageBreak/>
        <w:t>In the f</w:t>
      </w:r>
      <w:r w:rsidR="00A772DA">
        <w:rPr>
          <w:rFonts w:eastAsia="ＭＳ 明朝"/>
          <w:sz w:val="22"/>
          <w:szCs w:val="22"/>
          <w:lang w:val="en-US"/>
        </w:rPr>
        <w:t>ollowing section, UE-initiated COT for FBE and h</w:t>
      </w:r>
      <w:r w:rsidR="00A772DA" w:rsidRPr="00A772DA">
        <w:rPr>
          <w:rFonts w:eastAsia="ＭＳ 明朝"/>
          <w:sz w:val="22"/>
          <w:szCs w:val="22"/>
          <w:lang w:val="en-US"/>
        </w:rPr>
        <w:t xml:space="preserve">armonizing UL </w:t>
      </w:r>
      <w:r w:rsidR="00A772DA">
        <w:rPr>
          <w:rFonts w:eastAsia="ＭＳ 明朝"/>
          <w:sz w:val="22"/>
          <w:szCs w:val="22"/>
          <w:lang w:val="en-US"/>
        </w:rPr>
        <w:t>CG</w:t>
      </w:r>
      <w:r w:rsidR="00A772DA" w:rsidRPr="00A772DA">
        <w:rPr>
          <w:rFonts w:eastAsia="ＭＳ 明朝"/>
          <w:sz w:val="22"/>
          <w:szCs w:val="22"/>
          <w:lang w:val="en-US"/>
        </w:rPr>
        <w:t xml:space="preserve"> enhancements </w:t>
      </w:r>
      <w:r>
        <w:rPr>
          <w:rFonts w:eastAsia="ＭＳ 明朝"/>
          <w:sz w:val="22"/>
          <w:szCs w:val="22"/>
          <w:lang w:val="en-US"/>
        </w:rPr>
        <w:t>especially related to the highlighted parts are discussed.</w:t>
      </w:r>
    </w:p>
    <w:p w14:paraId="093EFF21" w14:textId="04144D75" w:rsidR="00C4049C" w:rsidRPr="003A1FF2" w:rsidRDefault="00C4049C" w:rsidP="00F26F8D">
      <w:pPr>
        <w:spacing w:afterLines="50" w:after="120"/>
        <w:jc w:val="both"/>
        <w:rPr>
          <w:rFonts w:eastAsia="ＭＳ 明朝"/>
          <w:sz w:val="22"/>
          <w:szCs w:val="22"/>
          <w:lang w:val="en-US"/>
        </w:rPr>
      </w:pPr>
    </w:p>
    <w:p w14:paraId="079EBB15" w14:textId="641D85DF" w:rsidR="00E77DB5" w:rsidRDefault="00B13265" w:rsidP="00B13265">
      <w:pPr>
        <w:pStyle w:val="1"/>
        <w:numPr>
          <w:ilvl w:val="0"/>
          <w:numId w:val="6"/>
        </w:numPr>
        <w:spacing w:before="180" w:after="120"/>
        <w:rPr>
          <w:rFonts w:eastAsia="ＭＳ 明朝"/>
          <w:b/>
          <w:bCs/>
          <w:szCs w:val="24"/>
          <w:lang w:val="en-US"/>
        </w:rPr>
      </w:pPr>
      <w:r>
        <w:rPr>
          <w:rFonts w:eastAsia="ＭＳ 明朝"/>
          <w:b/>
          <w:bCs/>
          <w:szCs w:val="24"/>
          <w:lang w:val="en-US"/>
        </w:rPr>
        <w:t>U</w:t>
      </w:r>
      <w:r w:rsidRPr="00B13265">
        <w:rPr>
          <w:rFonts w:eastAsia="ＭＳ 明朝"/>
          <w:b/>
          <w:bCs/>
          <w:szCs w:val="24"/>
          <w:lang w:val="en-US"/>
        </w:rPr>
        <w:t>plink enhancements for URLLC in unlicensed controlled environments</w:t>
      </w:r>
    </w:p>
    <w:p w14:paraId="6CF9EBB5" w14:textId="0A27617E" w:rsidR="00E16C39" w:rsidRPr="00E16C39" w:rsidRDefault="00B13265" w:rsidP="00B13265">
      <w:pPr>
        <w:pStyle w:val="1"/>
        <w:numPr>
          <w:ilvl w:val="1"/>
          <w:numId w:val="6"/>
        </w:numPr>
        <w:spacing w:before="180" w:after="120"/>
        <w:rPr>
          <w:rFonts w:eastAsia="ＭＳ 明朝"/>
          <w:b/>
          <w:bCs/>
          <w:sz w:val="24"/>
          <w:szCs w:val="24"/>
          <w:lang w:val="en-US"/>
        </w:rPr>
      </w:pPr>
      <w:r w:rsidRPr="00B13265">
        <w:rPr>
          <w:rFonts w:eastAsia="ＭＳ 明朝"/>
          <w:b/>
          <w:bCs/>
          <w:sz w:val="24"/>
          <w:szCs w:val="24"/>
          <w:lang w:val="en-US"/>
        </w:rPr>
        <w:t>UE-initiated COT for FBE</w:t>
      </w:r>
    </w:p>
    <w:p w14:paraId="32DF1EAE" w14:textId="00B7D952" w:rsidR="00D7374D" w:rsidRDefault="003D2476" w:rsidP="00AE49BB">
      <w:pPr>
        <w:spacing w:afterLines="50" w:after="120"/>
        <w:jc w:val="both"/>
        <w:rPr>
          <w:rFonts w:eastAsia="ＭＳ 明朝"/>
          <w:sz w:val="22"/>
          <w:szCs w:val="22"/>
          <w:lang w:val="en-US"/>
        </w:rPr>
      </w:pPr>
      <w:r>
        <w:rPr>
          <w:rFonts w:eastAsia="ＭＳ 明朝" w:hint="eastAsia"/>
          <w:sz w:val="22"/>
          <w:szCs w:val="22"/>
          <w:lang w:val="en-US"/>
        </w:rPr>
        <w:t>In Rel.16</w:t>
      </w:r>
      <w:r>
        <w:rPr>
          <w:rFonts w:eastAsia="ＭＳ 明朝"/>
          <w:sz w:val="22"/>
          <w:szCs w:val="22"/>
          <w:lang w:val="en-US"/>
        </w:rPr>
        <w:t xml:space="preserve"> NR-U, only gNB can initiate COT (i.e., every COT starts from DL) for FBE operation and hence, UL transmission is not allowed at the beginning of FFP. To reduce the UL latency, UE-initiated COT has been decided to be specified in Rel.17. While FBE operation makes LBT simple, the main drawback of FBE is that when the initiating device fails to initiate COT at the beginning of an FFP due to LBT failure, no node can access the channel during the FFP. In addition, as shown in Fig. 1, when gNB configures CG-PUSCH </w:t>
      </w:r>
      <w:r w:rsidR="00F61A90">
        <w:rPr>
          <w:rFonts w:eastAsia="ＭＳ 明朝"/>
          <w:sz w:val="22"/>
          <w:szCs w:val="22"/>
          <w:lang w:val="en-US"/>
        </w:rPr>
        <w:t>(or SR/PRACH</w:t>
      </w:r>
      <w:r w:rsidR="00207280">
        <w:rPr>
          <w:rFonts w:eastAsia="ＭＳ 明朝"/>
          <w:sz w:val="22"/>
          <w:szCs w:val="22"/>
          <w:lang w:val="en-US"/>
        </w:rPr>
        <w:t xml:space="preserve"> if applicable</w:t>
      </w:r>
      <w:r w:rsidR="00F61A90">
        <w:rPr>
          <w:rFonts w:eastAsia="ＭＳ 明朝"/>
          <w:sz w:val="22"/>
          <w:szCs w:val="22"/>
          <w:lang w:val="en-US"/>
        </w:rPr>
        <w:t xml:space="preserve">) </w:t>
      </w:r>
      <w:r>
        <w:rPr>
          <w:rFonts w:eastAsia="ＭＳ 明朝"/>
          <w:sz w:val="22"/>
          <w:szCs w:val="22"/>
          <w:lang w:val="en-US"/>
        </w:rPr>
        <w:t xml:space="preserve">transmission occasion at the beginning of FFP for UE to initiate COT for low latency purpose but actually CG-PUSCH is not transmitted at the occasion, e.g., because of no UL traffic, UE does not initiate COT at the FFP. From gNB perspective, gNB blind-decodes CG-PUSCH at the occasion because gNB doesn’t know whether </w:t>
      </w:r>
      <w:r w:rsidR="00386B52">
        <w:rPr>
          <w:rFonts w:eastAsia="ＭＳ 明朝"/>
          <w:sz w:val="22"/>
          <w:szCs w:val="22"/>
          <w:lang w:val="en-US"/>
        </w:rPr>
        <w:t>or not CG-PUSCH is actually transmitted at the occasion, which means that gNB cannot initiate COT at the FFP. As the consequence, no node can access the channel during the FFP, which leads to significant system performance degradation.</w:t>
      </w:r>
    </w:p>
    <w:p w14:paraId="7644B5A2" w14:textId="06CF58CF" w:rsidR="002E1C61" w:rsidRDefault="002E1C61" w:rsidP="00AE49BB">
      <w:pPr>
        <w:spacing w:afterLines="50" w:after="120"/>
        <w:jc w:val="both"/>
        <w:rPr>
          <w:rFonts w:eastAsia="ＭＳ 明朝"/>
          <w:sz w:val="22"/>
          <w:szCs w:val="22"/>
          <w:lang w:val="en-US"/>
        </w:rPr>
      </w:pPr>
      <w:r>
        <w:rPr>
          <w:rFonts w:eastAsia="ＭＳ 明朝"/>
          <w:sz w:val="22"/>
          <w:szCs w:val="22"/>
          <w:lang w:val="en-US"/>
        </w:rPr>
        <w:t xml:space="preserve">To address the issue, </w:t>
      </w:r>
      <w:r w:rsidR="00341567">
        <w:rPr>
          <w:rFonts w:eastAsia="ＭＳ 明朝"/>
          <w:sz w:val="22"/>
          <w:szCs w:val="22"/>
          <w:lang w:val="en-US"/>
        </w:rPr>
        <w:t>it was agreed</w:t>
      </w:r>
      <w:r w:rsidR="00D7374D">
        <w:rPr>
          <w:rFonts w:eastAsia="ＭＳ 明朝"/>
          <w:sz w:val="22"/>
          <w:szCs w:val="22"/>
          <w:lang w:val="en-US"/>
        </w:rPr>
        <w:t xml:space="preserve"> at RAN1#102-e</w:t>
      </w:r>
      <w:r w:rsidR="00341567">
        <w:rPr>
          <w:rFonts w:eastAsia="ＭＳ 明朝"/>
          <w:sz w:val="22"/>
          <w:szCs w:val="22"/>
          <w:lang w:val="en-US"/>
        </w:rPr>
        <w:t xml:space="preserve"> that the s</w:t>
      </w:r>
      <w:r w:rsidR="00341567" w:rsidRPr="00341567">
        <w:rPr>
          <w:rFonts w:eastAsia="ＭＳ 明朝"/>
          <w:sz w:val="22"/>
          <w:szCs w:val="22"/>
          <w:lang w:val="en-US"/>
        </w:rPr>
        <w:t>tart of FFP for UE-initiated COT can be different from the start of FFP for gNB-initiated COT.</w:t>
      </w:r>
      <w:r w:rsidR="00341567">
        <w:rPr>
          <w:rFonts w:eastAsia="ＭＳ 明朝"/>
          <w:sz w:val="22"/>
          <w:szCs w:val="22"/>
          <w:lang w:val="en-US"/>
        </w:rPr>
        <w:t xml:space="preserve"> As shown </w:t>
      </w:r>
      <w:r w:rsidR="005E5836">
        <w:rPr>
          <w:rFonts w:eastAsia="ＭＳ 明朝"/>
          <w:sz w:val="22"/>
          <w:szCs w:val="22"/>
          <w:lang w:val="en-US"/>
        </w:rPr>
        <w:t xml:space="preserve">in Fig. 2, starting position of FFP for UE-initiated COT of UE2 is different from that of UE1 </w:t>
      </w:r>
      <w:r w:rsidR="00D7374D">
        <w:rPr>
          <w:rFonts w:eastAsia="ＭＳ 明朝"/>
          <w:sz w:val="22"/>
          <w:szCs w:val="22"/>
          <w:lang w:val="en-US"/>
        </w:rPr>
        <w:t>(</w:t>
      </w:r>
      <w:r w:rsidR="00EC2899">
        <w:rPr>
          <w:rFonts w:eastAsia="ＭＳ 明朝"/>
          <w:sz w:val="22"/>
          <w:szCs w:val="22"/>
          <w:lang w:val="en-US"/>
        </w:rPr>
        <w:t>and</w:t>
      </w:r>
      <w:r w:rsidR="00D7374D">
        <w:rPr>
          <w:rFonts w:eastAsia="ＭＳ 明朝"/>
          <w:sz w:val="22"/>
          <w:szCs w:val="22"/>
          <w:lang w:val="en-US"/>
        </w:rPr>
        <w:t xml:space="preserve"> that of gNB) </w:t>
      </w:r>
      <w:r w:rsidR="005E5836">
        <w:rPr>
          <w:rFonts w:eastAsia="ＭＳ 明朝"/>
          <w:sz w:val="22"/>
          <w:szCs w:val="22"/>
          <w:lang w:val="en-US"/>
        </w:rPr>
        <w:t xml:space="preserve">so that different UEs can successively try to acquire COT when prior UEs could/did not initiate COT. This can reduce the UL latency and is beneficial for CG-PUSCH and PUCCH. However, regarding PRACH, it was discussed in RAN1#102-e whether </w:t>
      </w:r>
      <w:r w:rsidR="00EB7B4B">
        <w:rPr>
          <w:rFonts w:eastAsia="ＭＳ 明朝"/>
          <w:sz w:val="22"/>
          <w:szCs w:val="22"/>
          <w:lang w:val="en-US"/>
        </w:rPr>
        <w:t>IDLE</w:t>
      </w:r>
      <w:r w:rsidR="00E017CA">
        <w:rPr>
          <w:rFonts w:eastAsia="ＭＳ 明朝"/>
          <w:sz w:val="22"/>
          <w:szCs w:val="22"/>
          <w:lang w:val="en-US"/>
        </w:rPr>
        <w:t>/INACTIVE</w:t>
      </w:r>
      <w:r w:rsidR="005E5836">
        <w:rPr>
          <w:rFonts w:eastAsia="ＭＳ 明朝"/>
          <w:sz w:val="22"/>
          <w:szCs w:val="22"/>
          <w:lang w:val="en-US"/>
        </w:rPr>
        <w:t xml:space="preserve"> mode UE can initiate COT but no consensus was reached. It is our understanding that the specification work in this WI should focus on URLLC perspective as stated in WID, and PRACH should not be used to initiate COT in </w:t>
      </w:r>
      <w:r w:rsidR="00EB7B4B">
        <w:rPr>
          <w:rFonts w:eastAsia="ＭＳ 明朝"/>
          <w:sz w:val="22"/>
          <w:szCs w:val="22"/>
          <w:lang w:val="en-US"/>
        </w:rPr>
        <w:t>IDLE</w:t>
      </w:r>
      <w:r w:rsidR="00E017CA">
        <w:rPr>
          <w:rFonts w:eastAsia="ＭＳ 明朝"/>
          <w:sz w:val="22"/>
          <w:szCs w:val="22"/>
          <w:lang w:val="en-US"/>
        </w:rPr>
        <w:t>/INACTIVE</w:t>
      </w:r>
      <w:r w:rsidR="005E5836">
        <w:rPr>
          <w:rFonts w:eastAsia="ＭＳ 明朝"/>
          <w:sz w:val="22"/>
          <w:szCs w:val="22"/>
          <w:lang w:val="en-US"/>
        </w:rPr>
        <w:t xml:space="preserve"> mode as URLLC work has focused on </w:t>
      </w:r>
      <w:r w:rsidR="00EB7B4B">
        <w:rPr>
          <w:rFonts w:eastAsia="ＭＳ 明朝"/>
          <w:sz w:val="22"/>
          <w:szCs w:val="22"/>
          <w:lang w:val="en-US"/>
        </w:rPr>
        <w:t>CONNECTED</w:t>
      </w:r>
      <w:r w:rsidR="005E5836">
        <w:rPr>
          <w:rFonts w:eastAsia="ＭＳ 明朝"/>
          <w:sz w:val="22"/>
          <w:szCs w:val="22"/>
          <w:lang w:val="en-US"/>
        </w:rPr>
        <w:t xml:space="preserve"> mode only.</w:t>
      </w:r>
    </w:p>
    <w:p w14:paraId="063CC995" w14:textId="77777777" w:rsidR="00DE56AB" w:rsidRDefault="00EB7B4B" w:rsidP="00EB7B4B">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w:t>
      </w:r>
    </w:p>
    <w:p w14:paraId="3C0366BA" w14:textId="1BCF9967" w:rsidR="00EB7B4B" w:rsidRPr="00DE56AB" w:rsidRDefault="00E017CA" w:rsidP="00A82FDE">
      <w:pPr>
        <w:pStyle w:val="afc"/>
        <w:numPr>
          <w:ilvl w:val="0"/>
          <w:numId w:val="20"/>
        </w:numPr>
        <w:spacing w:afterLines="50" w:after="120"/>
        <w:ind w:leftChars="0"/>
        <w:jc w:val="both"/>
        <w:rPr>
          <w:rFonts w:eastAsia="ＭＳ 明朝"/>
          <w:sz w:val="22"/>
          <w:szCs w:val="22"/>
        </w:rPr>
      </w:pPr>
      <w:r w:rsidRPr="00DE56AB">
        <w:rPr>
          <w:rFonts w:eastAsia="ＭＳ 明朝"/>
          <w:b/>
          <w:sz w:val="22"/>
          <w:szCs w:val="22"/>
        </w:rPr>
        <w:t>UE in</w:t>
      </w:r>
      <w:r w:rsidR="00EB7B4B" w:rsidRPr="00DE56AB">
        <w:rPr>
          <w:rFonts w:eastAsia="ＭＳ 明朝"/>
          <w:b/>
          <w:sz w:val="22"/>
          <w:szCs w:val="22"/>
        </w:rPr>
        <w:t xml:space="preserve"> IDLE/INACTIVE mode</w:t>
      </w:r>
      <w:r w:rsidRPr="00DE56AB">
        <w:rPr>
          <w:rFonts w:eastAsia="ＭＳ 明朝"/>
          <w:b/>
          <w:sz w:val="22"/>
          <w:szCs w:val="22"/>
        </w:rPr>
        <w:t xml:space="preserve"> does not initiate COT, i.e., PRACH is not used to initiate COT in IDLE/INACTIVE mode.</w:t>
      </w:r>
    </w:p>
    <w:p w14:paraId="19E1C925" w14:textId="72A7A985" w:rsidR="002E1C61" w:rsidRPr="00EB7B4B" w:rsidRDefault="002E1C61" w:rsidP="00AE49BB">
      <w:pPr>
        <w:spacing w:afterLines="50" w:after="120"/>
        <w:jc w:val="both"/>
        <w:rPr>
          <w:rFonts w:eastAsia="ＭＳ 明朝"/>
          <w:sz w:val="22"/>
          <w:szCs w:val="22"/>
        </w:rPr>
      </w:pPr>
    </w:p>
    <w:p w14:paraId="5B72291E" w14:textId="1F61E622" w:rsidR="003D2476" w:rsidRDefault="00152BA6" w:rsidP="00152BA6">
      <w:pPr>
        <w:spacing w:afterLines="50" w:after="120"/>
        <w:jc w:val="center"/>
        <w:rPr>
          <w:rFonts w:eastAsia="ＭＳ 明朝"/>
          <w:sz w:val="22"/>
          <w:szCs w:val="22"/>
          <w:lang w:val="en-US"/>
        </w:rPr>
      </w:pPr>
      <w:r w:rsidRPr="00152BA6">
        <w:rPr>
          <w:noProof/>
          <w:lang w:val="en-US"/>
        </w:rPr>
        <w:drawing>
          <wp:inline distT="0" distB="0" distL="0" distR="0" wp14:anchorId="3D4100A8" wp14:editId="249FBEA8">
            <wp:extent cx="5715000" cy="153098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0" cy="1530985"/>
                    </a:xfrm>
                    <a:prstGeom prst="rect">
                      <a:avLst/>
                    </a:prstGeom>
                    <a:noFill/>
                    <a:ln>
                      <a:noFill/>
                    </a:ln>
                  </pic:spPr>
                </pic:pic>
              </a:graphicData>
            </a:graphic>
          </wp:inline>
        </w:drawing>
      </w:r>
    </w:p>
    <w:p w14:paraId="48A8B74A" w14:textId="3298B4C5" w:rsidR="003D2476" w:rsidRDefault="003D2476" w:rsidP="00B7087C">
      <w:pPr>
        <w:spacing w:afterLines="50" w:after="120"/>
        <w:jc w:val="center"/>
        <w:rPr>
          <w:rFonts w:eastAsia="ＭＳ 明朝"/>
          <w:sz w:val="22"/>
          <w:szCs w:val="22"/>
          <w:lang w:val="en-US"/>
        </w:rPr>
      </w:pPr>
      <w:r>
        <w:rPr>
          <w:rFonts w:eastAsia="ＭＳ 明朝" w:hint="eastAsia"/>
          <w:sz w:val="22"/>
          <w:szCs w:val="22"/>
          <w:lang w:val="en-US"/>
        </w:rPr>
        <w:t xml:space="preserve">Figure 1.  Issue when CG-PUSCH transmission occasion </w:t>
      </w:r>
      <w:r w:rsidR="00B7087C">
        <w:rPr>
          <w:rFonts w:eastAsia="ＭＳ 明朝"/>
          <w:sz w:val="22"/>
          <w:szCs w:val="22"/>
          <w:lang w:val="en-US"/>
        </w:rPr>
        <w:t>is configured at the beginning of FFP</w:t>
      </w:r>
    </w:p>
    <w:p w14:paraId="2D4799A9" w14:textId="0D50AB99" w:rsidR="00190A25" w:rsidRDefault="00190A25" w:rsidP="00AE49BB">
      <w:pPr>
        <w:spacing w:afterLines="50" w:after="120"/>
        <w:jc w:val="both"/>
        <w:rPr>
          <w:rFonts w:eastAsia="ＭＳ 明朝"/>
          <w:sz w:val="22"/>
          <w:szCs w:val="22"/>
        </w:rPr>
      </w:pPr>
    </w:p>
    <w:p w14:paraId="6AD3CBBF" w14:textId="70D0CF55" w:rsidR="00341567" w:rsidRDefault="00341567" w:rsidP="00AE49BB">
      <w:pPr>
        <w:spacing w:afterLines="50" w:after="120"/>
        <w:jc w:val="both"/>
        <w:rPr>
          <w:rFonts w:eastAsia="ＭＳ 明朝"/>
          <w:sz w:val="22"/>
          <w:szCs w:val="22"/>
        </w:rPr>
      </w:pPr>
      <w:r w:rsidRPr="00341567">
        <w:rPr>
          <w:noProof/>
          <w:lang w:val="en-US"/>
        </w:rPr>
        <w:lastRenderedPageBreak/>
        <w:drawing>
          <wp:inline distT="0" distB="0" distL="0" distR="0" wp14:anchorId="71AAC53E" wp14:editId="485F1210">
            <wp:extent cx="6332220" cy="34013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3401300"/>
                    </a:xfrm>
                    <a:prstGeom prst="rect">
                      <a:avLst/>
                    </a:prstGeom>
                    <a:noFill/>
                    <a:ln>
                      <a:noFill/>
                    </a:ln>
                  </pic:spPr>
                </pic:pic>
              </a:graphicData>
            </a:graphic>
          </wp:inline>
        </w:drawing>
      </w:r>
    </w:p>
    <w:p w14:paraId="1B99DCA4" w14:textId="07B7777F" w:rsidR="00AE6517" w:rsidRDefault="00AE6517" w:rsidP="00AE6517">
      <w:pPr>
        <w:spacing w:afterLines="50" w:after="120"/>
        <w:jc w:val="center"/>
        <w:rPr>
          <w:rFonts w:eastAsia="ＭＳ 明朝"/>
          <w:sz w:val="22"/>
          <w:szCs w:val="22"/>
          <w:lang w:val="en-US"/>
        </w:rPr>
      </w:pPr>
      <w:r>
        <w:rPr>
          <w:rFonts w:eastAsia="ＭＳ 明朝" w:hint="eastAsia"/>
          <w:sz w:val="22"/>
          <w:szCs w:val="22"/>
          <w:lang w:val="en-US"/>
        </w:rPr>
        <w:t xml:space="preserve">Figure 2.  </w:t>
      </w:r>
      <w:r w:rsidR="00CB0444">
        <w:rPr>
          <w:rFonts w:eastAsia="ＭＳ 明朝"/>
          <w:sz w:val="22"/>
          <w:szCs w:val="22"/>
          <w:lang w:val="en-US"/>
        </w:rPr>
        <w:t>FFP for UE-initiated COT with different starting position from that of gNB-initiated COT</w:t>
      </w:r>
    </w:p>
    <w:p w14:paraId="661BD9E1" w14:textId="554BA044" w:rsidR="00341567" w:rsidRPr="00AE6517" w:rsidRDefault="00341567" w:rsidP="00AE49BB">
      <w:pPr>
        <w:spacing w:afterLines="50" w:after="120"/>
        <w:jc w:val="both"/>
        <w:rPr>
          <w:rFonts w:eastAsia="ＭＳ 明朝"/>
          <w:sz w:val="22"/>
          <w:szCs w:val="22"/>
          <w:lang w:val="en-US"/>
        </w:rPr>
      </w:pPr>
    </w:p>
    <w:p w14:paraId="51502692" w14:textId="722028C0" w:rsidR="00D7374D" w:rsidRDefault="00D7374D" w:rsidP="00AE49BB">
      <w:pPr>
        <w:spacing w:afterLines="50" w:after="120"/>
        <w:jc w:val="both"/>
        <w:rPr>
          <w:rFonts w:eastAsia="ＭＳ 明朝"/>
          <w:sz w:val="22"/>
          <w:szCs w:val="22"/>
        </w:rPr>
      </w:pPr>
      <w:r>
        <w:rPr>
          <w:rFonts w:eastAsia="ＭＳ 明朝" w:hint="eastAsia"/>
          <w:sz w:val="22"/>
          <w:szCs w:val="22"/>
        </w:rPr>
        <w:t xml:space="preserve">Regarding </w:t>
      </w:r>
      <w:r>
        <w:rPr>
          <w:rFonts w:eastAsia="ＭＳ 明朝"/>
          <w:sz w:val="22"/>
          <w:szCs w:val="22"/>
        </w:rPr>
        <w:t xml:space="preserve">the FFP configuration for UE-initiated COT, </w:t>
      </w:r>
      <w:r w:rsidR="00F05205">
        <w:rPr>
          <w:rFonts w:eastAsia="ＭＳ 明朝"/>
          <w:sz w:val="22"/>
          <w:szCs w:val="22"/>
        </w:rPr>
        <w:t>following points are still FFS:</w:t>
      </w:r>
    </w:p>
    <w:p w14:paraId="7986C143" w14:textId="77777777" w:rsidR="00105A8B" w:rsidRDefault="00105A8B" w:rsidP="00A82FDE">
      <w:pPr>
        <w:pStyle w:val="afc"/>
        <w:numPr>
          <w:ilvl w:val="0"/>
          <w:numId w:val="21"/>
        </w:numPr>
        <w:spacing w:afterLines="50" w:after="120"/>
        <w:ind w:leftChars="0"/>
        <w:jc w:val="both"/>
        <w:rPr>
          <w:rFonts w:eastAsia="ＭＳ 明朝"/>
          <w:sz w:val="22"/>
          <w:szCs w:val="22"/>
        </w:rPr>
      </w:pPr>
      <w:r>
        <w:rPr>
          <w:rFonts w:eastAsia="ＭＳ 明朝"/>
          <w:sz w:val="22"/>
          <w:szCs w:val="22"/>
        </w:rPr>
        <w:t xml:space="preserve">Whether </w:t>
      </w:r>
      <w:r w:rsidRPr="00F05205">
        <w:rPr>
          <w:rFonts w:eastAsia="ＭＳ 明朝"/>
          <w:sz w:val="22"/>
          <w:szCs w:val="22"/>
        </w:rPr>
        <w:t xml:space="preserve">FFP parameters for UE-initiated COT can be provided to the UE by </w:t>
      </w:r>
      <w:r>
        <w:rPr>
          <w:rFonts w:eastAsia="ＭＳ 明朝"/>
          <w:sz w:val="22"/>
          <w:szCs w:val="22"/>
        </w:rPr>
        <w:t>SIB1 in addition to dedicated RRC signalling</w:t>
      </w:r>
    </w:p>
    <w:p w14:paraId="4C854C58" w14:textId="364945F7" w:rsidR="00F05205" w:rsidRDefault="00F05205" w:rsidP="00A82FDE">
      <w:pPr>
        <w:pStyle w:val="afc"/>
        <w:numPr>
          <w:ilvl w:val="0"/>
          <w:numId w:val="21"/>
        </w:numPr>
        <w:spacing w:afterLines="50" w:after="120"/>
        <w:ind w:leftChars="0"/>
        <w:jc w:val="both"/>
        <w:rPr>
          <w:rFonts w:eastAsia="ＭＳ 明朝"/>
          <w:sz w:val="22"/>
          <w:szCs w:val="22"/>
        </w:rPr>
      </w:pPr>
      <w:r>
        <w:rPr>
          <w:rFonts w:eastAsia="ＭＳ 明朝"/>
          <w:sz w:val="22"/>
          <w:szCs w:val="22"/>
        </w:rPr>
        <w:t>Whether FFP p</w:t>
      </w:r>
      <w:r w:rsidRPr="00F05205">
        <w:rPr>
          <w:rFonts w:eastAsia="ＭＳ 明朝"/>
          <w:sz w:val="22"/>
          <w:szCs w:val="22"/>
        </w:rPr>
        <w:t>eriodicity for UE-initiated COT can be different from the FFP periodicity for gNB-initiated COT</w:t>
      </w:r>
    </w:p>
    <w:p w14:paraId="3684EB9E" w14:textId="4639C65A" w:rsidR="00105A8B" w:rsidRPr="00E758BF" w:rsidRDefault="00105A8B" w:rsidP="00A82FDE">
      <w:pPr>
        <w:pStyle w:val="afc"/>
        <w:numPr>
          <w:ilvl w:val="0"/>
          <w:numId w:val="21"/>
        </w:numPr>
        <w:spacing w:afterLines="50" w:after="120"/>
        <w:ind w:leftChars="0"/>
        <w:jc w:val="both"/>
        <w:rPr>
          <w:rFonts w:eastAsia="ＭＳ 明朝"/>
          <w:sz w:val="22"/>
          <w:szCs w:val="22"/>
        </w:rPr>
      </w:pPr>
      <w:r w:rsidRPr="00E758BF">
        <w:rPr>
          <w:rFonts w:eastAsia="ＭＳ 明朝"/>
          <w:sz w:val="22"/>
          <w:szCs w:val="22"/>
        </w:rPr>
        <w:t>Whether the UE FFP periodicity is explicitly configured, or implicitly determined based on other higher layer parameter</w:t>
      </w:r>
    </w:p>
    <w:p w14:paraId="52431110" w14:textId="0212F670" w:rsidR="00105A8B" w:rsidRDefault="00105A8B" w:rsidP="00105A8B">
      <w:pPr>
        <w:spacing w:afterLines="50" w:after="120"/>
        <w:jc w:val="both"/>
        <w:rPr>
          <w:rFonts w:eastAsia="ＭＳ 明朝"/>
          <w:sz w:val="22"/>
          <w:szCs w:val="22"/>
        </w:rPr>
      </w:pPr>
      <w:r>
        <w:rPr>
          <w:rFonts w:eastAsia="ＭＳ 明朝" w:hint="eastAsia"/>
          <w:sz w:val="22"/>
          <w:szCs w:val="22"/>
        </w:rPr>
        <w:t>Regarding the 1</w:t>
      </w:r>
      <w:r w:rsidRPr="00105A8B">
        <w:rPr>
          <w:rFonts w:eastAsia="ＭＳ 明朝" w:hint="eastAsia"/>
          <w:sz w:val="22"/>
          <w:szCs w:val="22"/>
          <w:vertAlign w:val="superscript"/>
        </w:rPr>
        <w:t>st</w:t>
      </w:r>
      <w:r>
        <w:rPr>
          <w:rFonts w:eastAsia="ＭＳ 明朝" w:hint="eastAsia"/>
          <w:sz w:val="22"/>
          <w:szCs w:val="22"/>
        </w:rPr>
        <w:t xml:space="preserve"> </w:t>
      </w:r>
      <w:r>
        <w:rPr>
          <w:rFonts w:eastAsia="ＭＳ 明朝"/>
          <w:sz w:val="22"/>
          <w:szCs w:val="22"/>
        </w:rPr>
        <w:t>point, as discussed above, we think UE-initiated COT can be applied to the UEs in CONNECTED mode only, and hence, dedicated RRC signalling is enough to provide FFP parameters for UE-initiated COT.</w:t>
      </w:r>
    </w:p>
    <w:p w14:paraId="18AE972E" w14:textId="7E1D2382" w:rsidR="00105A8B" w:rsidRDefault="00105A8B" w:rsidP="00105A8B">
      <w:pPr>
        <w:spacing w:afterLines="50" w:after="120"/>
        <w:jc w:val="both"/>
        <w:rPr>
          <w:rFonts w:eastAsia="ＭＳ 明朝"/>
          <w:sz w:val="22"/>
          <w:szCs w:val="22"/>
          <w:lang w:val="en-US"/>
        </w:rPr>
      </w:pPr>
      <w:r>
        <w:rPr>
          <w:rFonts w:eastAsia="ＭＳ 明朝"/>
          <w:sz w:val="22"/>
          <w:szCs w:val="22"/>
        </w:rPr>
        <w:t>Regarding the 2</w:t>
      </w:r>
      <w:r w:rsidRPr="00105A8B">
        <w:rPr>
          <w:rFonts w:eastAsia="ＭＳ 明朝"/>
          <w:sz w:val="22"/>
          <w:szCs w:val="22"/>
          <w:vertAlign w:val="superscript"/>
        </w:rPr>
        <w:t>nd</w:t>
      </w:r>
      <w:r>
        <w:rPr>
          <w:rFonts w:eastAsia="ＭＳ 明朝"/>
          <w:sz w:val="22"/>
          <w:szCs w:val="22"/>
        </w:rPr>
        <w:t xml:space="preserve"> and 3</w:t>
      </w:r>
      <w:r w:rsidRPr="00105A8B">
        <w:rPr>
          <w:rFonts w:eastAsia="ＭＳ 明朝"/>
          <w:sz w:val="22"/>
          <w:szCs w:val="22"/>
          <w:vertAlign w:val="superscript"/>
        </w:rPr>
        <w:t>rd</w:t>
      </w:r>
      <w:r>
        <w:rPr>
          <w:rFonts w:eastAsia="ＭＳ 明朝"/>
          <w:sz w:val="22"/>
          <w:szCs w:val="22"/>
        </w:rPr>
        <w:t xml:space="preserve"> points, assuming FFP periodicity for UE-initiated COT is provided by dedicated RRC signalling, the periodicity </w:t>
      </w:r>
      <w:r w:rsidR="005A52F7">
        <w:rPr>
          <w:rFonts w:eastAsia="ＭＳ 明朝"/>
          <w:sz w:val="22"/>
          <w:szCs w:val="22"/>
        </w:rPr>
        <w:t>should be configurable</w:t>
      </w:r>
      <w:r>
        <w:rPr>
          <w:rFonts w:eastAsia="ＭＳ 明朝"/>
          <w:sz w:val="22"/>
          <w:szCs w:val="22"/>
        </w:rPr>
        <w:t xml:space="preserve"> </w:t>
      </w:r>
      <w:r w:rsidR="006E17BA">
        <w:rPr>
          <w:rFonts w:eastAsia="ＭＳ 明朝"/>
          <w:sz w:val="22"/>
          <w:szCs w:val="22"/>
        </w:rPr>
        <w:t xml:space="preserve">with possible different value from that of gNB initiated COT and also from other UEs </w:t>
      </w:r>
      <w:r>
        <w:rPr>
          <w:rFonts w:eastAsia="ＭＳ 明朝"/>
          <w:sz w:val="22"/>
          <w:szCs w:val="22"/>
        </w:rPr>
        <w:t xml:space="preserve">so that </w:t>
      </w:r>
      <w:r w:rsidR="005A52F7">
        <w:rPr>
          <w:rFonts w:eastAsia="ＭＳ 明朝"/>
          <w:sz w:val="22"/>
          <w:szCs w:val="22"/>
        </w:rPr>
        <w:t xml:space="preserve">flexible configuration of FFP in conjunction with the different starting position is configured by gNB. For example, </w:t>
      </w:r>
      <w:r w:rsidR="003C12D4">
        <w:rPr>
          <w:rFonts w:eastAsia="ＭＳ 明朝"/>
          <w:sz w:val="22"/>
          <w:szCs w:val="22"/>
        </w:rPr>
        <w:t xml:space="preserve">as shown in Fig.3, </w:t>
      </w:r>
      <w:r w:rsidR="003C12D4">
        <w:rPr>
          <w:rFonts w:eastAsia="ＭＳ 明朝"/>
          <w:sz w:val="22"/>
          <w:szCs w:val="22"/>
          <w:lang w:val="en-US"/>
        </w:rPr>
        <w:t>starting position and periodicity of FFP for UE-initiated COT of UE2 are different from those of UE1 (and those of gNB) so that different UEs can successively try to acquire COT when prior UEs could/did not initiate COT while achieving fair chance to acquire COT among gNB and UEs for some periodicity.</w:t>
      </w:r>
    </w:p>
    <w:p w14:paraId="7F48179E" w14:textId="54C8EE33" w:rsidR="00E758BF" w:rsidRDefault="00E758BF" w:rsidP="00E758BF">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2</w:t>
      </w:r>
      <w:r w:rsidRPr="00753F9E">
        <w:rPr>
          <w:rFonts w:eastAsia="ＭＳ 明朝" w:hint="eastAsia"/>
          <w:b/>
          <w:sz w:val="22"/>
          <w:szCs w:val="22"/>
        </w:rPr>
        <w:t>:</w:t>
      </w:r>
    </w:p>
    <w:p w14:paraId="0BBEF3B3" w14:textId="1212637C" w:rsidR="00E758BF" w:rsidRPr="00DE56AB" w:rsidRDefault="00E758BF" w:rsidP="00A82FDE">
      <w:pPr>
        <w:pStyle w:val="afc"/>
        <w:numPr>
          <w:ilvl w:val="0"/>
          <w:numId w:val="20"/>
        </w:numPr>
        <w:spacing w:afterLines="50" w:after="120"/>
        <w:ind w:leftChars="0"/>
        <w:jc w:val="both"/>
        <w:rPr>
          <w:rFonts w:eastAsia="ＭＳ 明朝"/>
          <w:sz w:val="22"/>
          <w:szCs w:val="22"/>
        </w:rPr>
      </w:pPr>
      <w:r w:rsidRPr="00E758BF">
        <w:rPr>
          <w:rFonts w:eastAsia="ＭＳ 明朝"/>
          <w:b/>
          <w:sz w:val="22"/>
          <w:szCs w:val="22"/>
        </w:rPr>
        <w:t>FFP parameters for UE-initiated COT can be provided to the UE by dedicated RRC signalling</w:t>
      </w:r>
      <w:r>
        <w:rPr>
          <w:rFonts w:eastAsia="ＭＳ 明朝"/>
          <w:b/>
          <w:sz w:val="22"/>
          <w:szCs w:val="22"/>
        </w:rPr>
        <w:t xml:space="preserve"> only</w:t>
      </w:r>
      <w:r w:rsidR="00D373D4">
        <w:rPr>
          <w:rFonts w:eastAsia="ＭＳ 明朝"/>
          <w:b/>
          <w:sz w:val="22"/>
          <w:szCs w:val="22"/>
        </w:rPr>
        <w:t>, i.e., not provided by SIB1</w:t>
      </w:r>
      <w:r w:rsidRPr="00DE56AB">
        <w:rPr>
          <w:rFonts w:eastAsia="ＭＳ 明朝"/>
          <w:b/>
          <w:sz w:val="22"/>
          <w:szCs w:val="22"/>
        </w:rPr>
        <w:t>.</w:t>
      </w:r>
    </w:p>
    <w:p w14:paraId="02B82C5F" w14:textId="27F271D3" w:rsidR="00D373D4" w:rsidRDefault="00D373D4" w:rsidP="00D373D4">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3</w:t>
      </w:r>
      <w:r w:rsidRPr="00753F9E">
        <w:rPr>
          <w:rFonts w:eastAsia="ＭＳ 明朝" w:hint="eastAsia"/>
          <w:b/>
          <w:sz w:val="22"/>
          <w:szCs w:val="22"/>
        </w:rPr>
        <w:t>:</w:t>
      </w:r>
    </w:p>
    <w:p w14:paraId="6E8AEDDC" w14:textId="4C27E310" w:rsidR="00D373D4" w:rsidRPr="00D373D4" w:rsidRDefault="00D373D4" w:rsidP="00A82FDE">
      <w:pPr>
        <w:pStyle w:val="afc"/>
        <w:numPr>
          <w:ilvl w:val="0"/>
          <w:numId w:val="20"/>
        </w:numPr>
        <w:spacing w:afterLines="50" w:after="120"/>
        <w:ind w:leftChars="0"/>
        <w:jc w:val="both"/>
        <w:rPr>
          <w:rFonts w:eastAsia="ＭＳ 明朝"/>
          <w:sz w:val="22"/>
          <w:szCs w:val="22"/>
        </w:rPr>
      </w:pPr>
      <w:r w:rsidRPr="00D373D4">
        <w:rPr>
          <w:rFonts w:eastAsia="ＭＳ 明朝"/>
          <w:b/>
          <w:sz w:val="22"/>
          <w:szCs w:val="22"/>
        </w:rPr>
        <w:t>FFP periodicity for UE-initiated COT can be different from the FFP periodicity for gNB-initiated COT</w:t>
      </w:r>
      <w:r>
        <w:rPr>
          <w:rFonts w:eastAsia="ＭＳ 明朝"/>
          <w:b/>
          <w:sz w:val="22"/>
          <w:szCs w:val="22"/>
        </w:rPr>
        <w:t xml:space="preserve"> and can be different among UEs</w:t>
      </w:r>
    </w:p>
    <w:p w14:paraId="1186CEF6" w14:textId="165A6484" w:rsidR="00D373D4" w:rsidRDefault="00D373D4" w:rsidP="00D373D4">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4</w:t>
      </w:r>
      <w:r w:rsidRPr="00753F9E">
        <w:rPr>
          <w:rFonts w:eastAsia="ＭＳ 明朝" w:hint="eastAsia"/>
          <w:b/>
          <w:sz w:val="22"/>
          <w:szCs w:val="22"/>
        </w:rPr>
        <w:t>:</w:t>
      </w:r>
    </w:p>
    <w:p w14:paraId="67294888" w14:textId="429A658A" w:rsidR="00E758BF" w:rsidRPr="00D373D4" w:rsidRDefault="00D373D4" w:rsidP="00A82FDE">
      <w:pPr>
        <w:pStyle w:val="afc"/>
        <w:numPr>
          <w:ilvl w:val="0"/>
          <w:numId w:val="20"/>
        </w:numPr>
        <w:spacing w:afterLines="50" w:after="120"/>
        <w:ind w:leftChars="0"/>
        <w:jc w:val="both"/>
        <w:rPr>
          <w:rFonts w:eastAsia="ＭＳ 明朝"/>
          <w:sz w:val="22"/>
          <w:szCs w:val="22"/>
        </w:rPr>
      </w:pPr>
      <w:r w:rsidRPr="00D373D4">
        <w:rPr>
          <w:rFonts w:eastAsia="ＭＳ 明朝"/>
          <w:b/>
          <w:sz w:val="22"/>
          <w:szCs w:val="22"/>
        </w:rPr>
        <w:t xml:space="preserve">FFP periodicity for UE-initiated COT </w:t>
      </w:r>
      <w:r>
        <w:rPr>
          <w:rFonts w:eastAsia="ＭＳ 明朝"/>
          <w:b/>
          <w:sz w:val="22"/>
          <w:szCs w:val="22"/>
        </w:rPr>
        <w:t xml:space="preserve">is explicitly configured by dedicated RRC signalling </w:t>
      </w:r>
      <w:r w:rsidR="00B8090C">
        <w:rPr>
          <w:rFonts w:eastAsia="ＭＳ 明朝"/>
          <w:b/>
          <w:sz w:val="22"/>
          <w:szCs w:val="22"/>
        </w:rPr>
        <w:t>to</w:t>
      </w:r>
      <w:r>
        <w:rPr>
          <w:rFonts w:eastAsia="ＭＳ 明朝"/>
          <w:b/>
          <w:sz w:val="22"/>
          <w:szCs w:val="22"/>
        </w:rPr>
        <w:t xml:space="preserve"> each UE</w:t>
      </w:r>
    </w:p>
    <w:p w14:paraId="3F4CF99A" w14:textId="06FAE9ED" w:rsidR="00D7374D" w:rsidRDefault="00D7374D" w:rsidP="00AE49BB">
      <w:pPr>
        <w:spacing w:afterLines="50" w:after="120"/>
        <w:jc w:val="both"/>
        <w:rPr>
          <w:rFonts w:eastAsia="ＭＳ 明朝"/>
          <w:sz w:val="22"/>
          <w:szCs w:val="22"/>
        </w:rPr>
      </w:pPr>
    </w:p>
    <w:p w14:paraId="62ECEFAE" w14:textId="04C99A7E" w:rsidR="00A94627" w:rsidRDefault="00E063D4" w:rsidP="00AE49BB">
      <w:pPr>
        <w:spacing w:afterLines="50" w:after="120"/>
        <w:jc w:val="both"/>
        <w:rPr>
          <w:rFonts w:eastAsia="ＭＳ 明朝"/>
          <w:sz w:val="22"/>
          <w:szCs w:val="22"/>
        </w:rPr>
      </w:pPr>
      <w:r w:rsidRPr="00E063D4">
        <w:rPr>
          <w:rFonts w:hint="eastAsia"/>
          <w:noProof/>
          <w:lang w:val="en-US"/>
        </w:rPr>
        <w:drawing>
          <wp:inline distT="0" distB="0" distL="0" distR="0" wp14:anchorId="41D630E4" wp14:editId="495B17C6">
            <wp:extent cx="6332220" cy="3173424"/>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3173424"/>
                    </a:xfrm>
                    <a:prstGeom prst="rect">
                      <a:avLst/>
                    </a:prstGeom>
                    <a:noFill/>
                    <a:ln>
                      <a:noFill/>
                    </a:ln>
                  </pic:spPr>
                </pic:pic>
              </a:graphicData>
            </a:graphic>
          </wp:inline>
        </w:drawing>
      </w:r>
    </w:p>
    <w:p w14:paraId="41A6F692" w14:textId="19DEF9D2" w:rsidR="00E063D4" w:rsidRDefault="00B24189" w:rsidP="00E063D4">
      <w:pPr>
        <w:spacing w:afterLines="50" w:after="120"/>
        <w:jc w:val="center"/>
        <w:rPr>
          <w:rFonts w:eastAsia="ＭＳ 明朝"/>
          <w:sz w:val="22"/>
          <w:szCs w:val="22"/>
          <w:lang w:val="en-US"/>
        </w:rPr>
      </w:pPr>
      <w:r>
        <w:rPr>
          <w:rFonts w:eastAsia="ＭＳ 明朝" w:hint="eastAsia"/>
          <w:sz w:val="22"/>
          <w:szCs w:val="22"/>
          <w:lang w:val="en-US"/>
        </w:rPr>
        <w:t>Figure 3</w:t>
      </w:r>
      <w:r w:rsidR="00E063D4">
        <w:rPr>
          <w:rFonts w:eastAsia="ＭＳ 明朝" w:hint="eastAsia"/>
          <w:sz w:val="22"/>
          <w:szCs w:val="22"/>
          <w:lang w:val="en-US"/>
        </w:rPr>
        <w:t xml:space="preserve">.  </w:t>
      </w:r>
      <w:r w:rsidR="00E063D4">
        <w:rPr>
          <w:rFonts w:eastAsia="ＭＳ 明朝"/>
          <w:sz w:val="22"/>
          <w:szCs w:val="22"/>
          <w:lang w:val="en-US"/>
        </w:rPr>
        <w:t>FFP for UE-initiated COT with different starting position and periodicity from those of gNB-initiated COT</w:t>
      </w:r>
    </w:p>
    <w:p w14:paraId="764CB3BA" w14:textId="44F39171" w:rsidR="00D7374D" w:rsidRDefault="00D7374D" w:rsidP="00AE49BB">
      <w:pPr>
        <w:spacing w:afterLines="50" w:after="120"/>
        <w:jc w:val="both"/>
        <w:rPr>
          <w:rFonts w:eastAsia="ＭＳ 明朝"/>
          <w:sz w:val="22"/>
          <w:szCs w:val="22"/>
          <w:lang w:val="en-US"/>
        </w:rPr>
      </w:pPr>
    </w:p>
    <w:p w14:paraId="4F1F6867" w14:textId="60EE4230" w:rsidR="002635E6" w:rsidRPr="00A84614" w:rsidRDefault="002635E6" w:rsidP="00AE49BB">
      <w:pPr>
        <w:spacing w:afterLines="50" w:after="120"/>
        <w:jc w:val="both"/>
        <w:rPr>
          <w:rFonts w:eastAsia="ＭＳ 明朝"/>
          <w:sz w:val="22"/>
          <w:szCs w:val="22"/>
          <w:lang w:val="en-US"/>
        </w:rPr>
      </w:pPr>
      <w:r>
        <w:rPr>
          <w:rFonts w:eastAsia="ＭＳ 明朝" w:hint="eastAsia"/>
          <w:sz w:val="22"/>
          <w:szCs w:val="22"/>
          <w:lang w:val="en-US"/>
        </w:rPr>
        <w:t xml:space="preserve">Regarding the </w:t>
      </w:r>
      <w:r>
        <w:rPr>
          <w:rFonts w:eastAsia="ＭＳ 明朝"/>
          <w:sz w:val="22"/>
          <w:szCs w:val="22"/>
          <w:lang w:val="en-US"/>
        </w:rPr>
        <w:t xml:space="preserve">indication to initiate a COT in a next FFP associated to the UE, </w:t>
      </w:r>
      <w:r w:rsidR="00A84614">
        <w:rPr>
          <w:rFonts w:eastAsia="ＭＳ 明朝"/>
          <w:sz w:val="22"/>
          <w:szCs w:val="22"/>
          <w:lang w:val="en-US"/>
        </w:rPr>
        <w:t xml:space="preserve">we think current specification is enough to </w:t>
      </w:r>
      <w:r w:rsidR="00B22D03">
        <w:rPr>
          <w:rFonts w:eastAsia="ＭＳ 明朝" w:hint="eastAsia"/>
          <w:sz w:val="22"/>
          <w:szCs w:val="22"/>
          <w:lang w:val="en-US"/>
        </w:rPr>
        <w:t xml:space="preserve">enable/disable </w:t>
      </w:r>
      <w:r w:rsidR="00A84614">
        <w:rPr>
          <w:rFonts w:eastAsia="ＭＳ 明朝"/>
          <w:sz w:val="22"/>
          <w:szCs w:val="22"/>
          <w:lang w:val="en-US"/>
        </w:rPr>
        <w:t xml:space="preserve">COT initiation. For dynamically scheduled UL, DL/UL grant can be used to schedule the UL at the beginning of next COT explicitly, and hence, no additional signaling is necessary. For configured UL, </w:t>
      </w:r>
      <w:r w:rsidR="00B22D03">
        <w:rPr>
          <w:rFonts w:eastAsia="ＭＳ 明朝"/>
          <w:sz w:val="22"/>
          <w:szCs w:val="22"/>
          <w:lang w:val="en-US"/>
        </w:rPr>
        <w:t xml:space="preserve">assuming semi-static flexible symbols are configured for the UL corresponding to the beginning of next FFP and SFI is configured for the UE in shared spectrum, the configuration of </w:t>
      </w:r>
      <w:r w:rsidR="00B22D03" w:rsidRPr="00B22D03">
        <w:rPr>
          <w:rFonts w:eastAsia="ＭＳ 明朝"/>
          <w:i/>
          <w:iCs/>
          <w:sz w:val="22"/>
          <w:szCs w:val="22"/>
        </w:rPr>
        <w:t>EnableConfiguredUL</w:t>
      </w:r>
      <w:r w:rsidR="00B22D03" w:rsidRPr="00B22D03">
        <w:rPr>
          <w:rFonts w:eastAsia="ＭＳ 明朝"/>
          <w:sz w:val="22"/>
          <w:szCs w:val="22"/>
          <w:lang w:val="en-US"/>
        </w:rPr>
        <w:t xml:space="preserve"> </w:t>
      </w:r>
      <w:r w:rsidR="00B22D03">
        <w:rPr>
          <w:rFonts w:eastAsia="ＭＳ 明朝"/>
          <w:sz w:val="22"/>
          <w:szCs w:val="22"/>
          <w:lang w:val="en-US"/>
        </w:rPr>
        <w:t xml:space="preserve">can </w:t>
      </w:r>
      <w:r w:rsidR="00B22D03">
        <w:rPr>
          <w:rFonts w:eastAsia="ＭＳ 明朝" w:hint="eastAsia"/>
          <w:sz w:val="22"/>
          <w:szCs w:val="22"/>
          <w:lang w:val="en-US"/>
        </w:rPr>
        <w:t>enable/disable</w:t>
      </w:r>
      <w:r w:rsidR="00B22D03">
        <w:rPr>
          <w:rFonts w:eastAsia="ＭＳ 明朝"/>
          <w:sz w:val="22"/>
          <w:szCs w:val="22"/>
          <w:lang w:val="en-US"/>
        </w:rPr>
        <w:t xml:space="preserve"> the COT initiation semi-statically. If gNB want</w:t>
      </w:r>
      <w:r w:rsidR="00965957">
        <w:rPr>
          <w:rFonts w:eastAsia="ＭＳ 明朝"/>
          <w:sz w:val="22"/>
          <w:szCs w:val="22"/>
          <w:lang w:val="en-US"/>
        </w:rPr>
        <w:t>s</w:t>
      </w:r>
      <w:r w:rsidR="00B22D03">
        <w:rPr>
          <w:rFonts w:eastAsia="ＭＳ 明朝"/>
          <w:sz w:val="22"/>
          <w:szCs w:val="22"/>
          <w:lang w:val="en-US"/>
        </w:rPr>
        <w:t xml:space="preserve"> to dynamically change the UE behavior of enabling/disenabling </w:t>
      </w:r>
      <w:r w:rsidR="00965957">
        <w:rPr>
          <w:rFonts w:eastAsia="ＭＳ 明朝"/>
          <w:sz w:val="22"/>
          <w:szCs w:val="22"/>
          <w:lang w:val="en-US"/>
        </w:rPr>
        <w:t>COT initiation by configured UL such as CG-PUSCH, scheduling a DG-PUSCH overlapping with the CG-PUSCH is enough as DG-PUSCH can override CG-PUSCH.</w:t>
      </w:r>
    </w:p>
    <w:p w14:paraId="1EB87A4A" w14:textId="05DAA8DA" w:rsidR="00265BE9" w:rsidRDefault="00265BE9" w:rsidP="00265BE9">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7F05D8">
        <w:rPr>
          <w:rFonts w:eastAsia="ＭＳ 明朝" w:hint="eastAsia"/>
          <w:b/>
          <w:sz w:val="22"/>
          <w:szCs w:val="22"/>
          <w:u w:val="single"/>
        </w:rPr>
        <w:t>5</w:t>
      </w:r>
      <w:r w:rsidRPr="00753F9E">
        <w:rPr>
          <w:rFonts w:eastAsia="ＭＳ 明朝" w:hint="eastAsia"/>
          <w:b/>
          <w:sz w:val="22"/>
          <w:szCs w:val="22"/>
        </w:rPr>
        <w:t>:</w:t>
      </w:r>
    </w:p>
    <w:p w14:paraId="26383BFB" w14:textId="2DAF27BF" w:rsidR="00265BE9" w:rsidRPr="00D373D4" w:rsidRDefault="00265BE9" w:rsidP="00265BE9">
      <w:pPr>
        <w:pStyle w:val="afc"/>
        <w:numPr>
          <w:ilvl w:val="0"/>
          <w:numId w:val="20"/>
        </w:numPr>
        <w:spacing w:afterLines="50" w:after="120"/>
        <w:ind w:leftChars="0"/>
        <w:jc w:val="both"/>
        <w:rPr>
          <w:rFonts w:eastAsia="ＭＳ 明朝"/>
          <w:sz w:val="22"/>
          <w:szCs w:val="22"/>
        </w:rPr>
      </w:pPr>
      <w:r>
        <w:rPr>
          <w:rFonts w:eastAsia="ＭＳ 明朝"/>
          <w:b/>
          <w:sz w:val="22"/>
          <w:szCs w:val="22"/>
        </w:rPr>
        <w:t xml:space="preserve">No additional specification is necessary for </w:t>
      </w:r>
      <w:r w:rsidRPr="00265BE9">
        <w:rPr>
          <w:rFonts w:eastAsia="ＭＳ 明朝"/>
          <w:b/>
          <w:sz w:val="22"/>
          <w:szCs w:val="22"/>
        </w:rPr>
        <w:t>the indication to initiate a COT in a next FFP associated to the UE</w:t>
      </w:r>
    </w:p>
    <w:p w14:paraId="0A576B54" w14:textId="1D96C511" w:rsidR="002635E6" w:rsidRDefault="002635E6" w:rsidP="00AE49BB">
      <w:pPr>
        <w:spacing w:afterLines="50" w:after="120"/>
        <w:jc w:val="both"/>
        <w:rPr>
          <w:rFonts w:eastAsia="ＭＳ 明朝"/>
          <w:sz w:val="22"/>
          <w:szCs w:val="22"/>
        </w:rPr>
      </w:pPr>
    </w:p>
    <w:p w14:paraId="3C12D61F" w14:textId="3D9F51B1" w:rsidR="00BD58A2" w:rsidRDefault="009E7DEA" w:rsidP="00AE49BB">
      <w:pPr>
        <w:spacing w:afterLines="50" w:after="120"/>
        <w:jc w:val="both"/>
        <w:rPr>
          <w:rFonts w:eastAsia="ＭＳ 明朝"/>
          <w:sz w:val="22"/>
          <w:szCs w:val="22"/>
        </w:rPr>
      </w:pPr>
      <w:r>
        <w:rPr>
          <w:rFonts w:eastAsia="ＭＳ 明朝"/>
          <w:sz w:val="22"/>
          <w:szCs w:val="22"/>
        </w:rPr>
        <w:t>In RAN1#102-e, it was discussed whether a</w:t>
      </w:r>
      <w:r>
        <w:rPr>
          <w:rFonts w:eastAsia="ＭＳ 明朝" w:hint="eastAsia"/>
          <w:sz w:val="22"/>
          <w:szCs w:val="22"/>
        </w:rPr>
        <w:t xml:space="preserve"> UE indication to gNB that </w:t>
      </w:r>
      <w:r w:rsidRPr="009E7DEA">
        <w:rPr>
          <w:rFonts w:eastAsia="ＭＳ 明朝"/>
          <w:sz w:val="22"/>
          <w:szCs w:val="22"/>
        </w:rPr>
        <w:t>it has initiated a COT in an FFP</w:t>
      </w:r>
      <w:r>
        <w:rPr>
          <w:rFonts w:eastAsia="ＭＳ 明朝"/>
          <w:sz w:val="22"/>
          <w:szCs w:val="22"/>
        </w:rPr>
        <w:t xml:space="preserve"> is necessary</w:t>
      </w:r>
      <w:r w:rsidR="004A0FE3">
        <w:rPr>
          <w:rFonts w:eastAsia="ＭＳ 明朝"/>
          <w:sz w:val="22"/>
          <w:szCs w:val="22"/>
        </w:rPr>
        <w:t xml:space="preserve"> or not</w:t>
      </w:r>
      <w:r>
        <w:rPr>
          <w:rFonts w:eastAsia="ＭＳ 明朝"/>
          <w:sz w:val="22"/>
          <w:szCs w:val="22"/>
        </w:rPr>
        <w:t xml:space="preserve">, but no consensus was reached [3]. </w:t>
      </w:r>
      <w:r w:rsidR="004A0FE3">
        <w:rPr>
          <w:rFonts w:eastAsia="ＭＳ 明朝"/>
          <w:sz w:val="22"/>
          <w:szCs w:val="22"/>
        </w:rPr>
        <w:t xml:space="preserve">We think no explicit indication is necessary as gNB knows whether the UE </w:t>
      </w:r>
      <w:r w:rsidR="004A0FE3" w:rsidRPr="009E7DEA">
        <w:rPr>
          <w:rFonts w:eastAsia="ＭＳ 明朝"/>
          <w:sz w:val="22"/>
          <w:szCs w:val="22"/>
        </w:rPr>
        <w:t>has initiated a COT</w:t>
      </w:r>
      <w:r w:rsidR="004A0FE3">
        <w:rPr>
          <w:rFonts w:eastAsia="ＭＳ 明朝"/>
          <w:sz w:val="22"/>
          <w:szCs w:val="22"/>
        </w:rPr>
        <w:t xml:space="preserve"> in the FFP by detecting UL transmission, similar to the UE behaviour in gNB-initiated COT, assuming that the detection accuracy should be sufficiently high for URLLC use case. </w:t>
      </w:r>
    </w:p>
    <w:p w14:paraId="5E3C52FF" w14:textId="32CE82C6" w:rsidR="004A0FE3" w:rsidRDefault="004A0FE3" w:rsidP="004A0FE3">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6</w:t>
      </w:r>
      <w:r w:rsidRPr="00753F9E">
        <w:rPr>
          <w:rFonts w:eastAsia="ＭＳ 明朝" w:hint="eastAsia"/>
          <w:b/>
          <w:sz w:val="22"/>
          <w:szCs w:val="22"/>
        </w:rPr>
        <w:t>:</w:t>
      </w:r>
    </w:p>
    <w:p w14:paraId="4B48EDE2" w14:textId="16E71B3F" w:rsidR="004A0FE3" w:rsidRPr="00D373D4" w:rsidRDefault="004A0FE3" w:rsidP="004A0FE3">
      <w:pPr>
        <w:pStyle w:val="afc"/>
        <w:numPr>
          <w:ilvl w:val="0"/>
          <w:numId w:val="20"/>
        </w:numPr>
        <w:spacing w:afterLines="50" w:after="120"/>
        <w:ind w:leftChars="0"/>
        <w:jc w:val="both"/>
        <w:rPr>
          <w:rFonts w:eastAsia="ＭＳ 明朝"/>
          <w:sz w:val="22"/>
          <w:szCs w:val="22"/>
        </w:rPr>
      </w:pPr>
      <w:r>
        <w:rPr>
          <w:rFonts w:eastAsia="ＭＳ 明朝"/>
          <w:b/>
          <w:sz w:val="22"/>
          <w:szCs w:val="22"/>
        </w:rPr>
        <w:t>No explicit indication is necessary for UE to indicate</w:t>
      </w:r>
      <w:r w:rsidRPr="004A0FE3">
        <w:rPr>
          <w:rFonts w:eastAsia="ＭＳ 明朝"/>
          <w:b/>
          <w:sz w:val="22"/>
          <w:szCs w:val="22"/>
        </w:rPr>
        <w:t xml:space="preserve"> to gNB that it has initiated a COT in an FFP</w:t>
      </w:r>
    </w:p>
    <w:p w14:paraId="6DFEFC92" w14:textId="77777777" w:rsidR="00BD58A2" w:rsidRPr="004A0FE3" w:rsidRDefault="00BD58A2" w:rsidP="00AE49BB">
      <w:pPr>
        <w:spacing w:afterLines="50" w:after="120"/>
        <w:jc w:val="both"/>
        <w:rPr>
          <w:rFonts w:eastAsia="ＭＳ 明朝"/>
          <w:sz w:val="22"/>
          <w:szCs w:val="22"/>
        </w:rPr>
      </w:pPr>
    </w:p>
    <w:p w14:paraId="5C72DB2A" w14:textId="77777777" w:rsidR="00E807F9" w:rsidRDefault="00BD58A2" w:rsidP="00E807F9">
      <w:pPr>
        <w:spacing w:afterLines="50" w:after="120"/>
        <w:jc w:val="both"/>
        <w:rPr>
          <w:rFonts w:eastAsia="ＭＳ 明朝"/>
          <w:sz w:val="22"/>
          <w:szCs w:val="22"/>
        </w:rPr>
      </w:pPr>
      <w:r>
        <w:rPr>
          <w:rFonts w:eastAsia="ＭＳ 明朝"/>
          <w:sz w:val="22"/>
          <w:szCs w:val="22"/>
          <w:lang w:val="en-US"/>
        </w:rPr>
        <w:t xml:space="preserve">Regarding UE-to-gNB </w:t>
      </w:r>
      <w:r w:rsidR="002635E6">
        <w:rPr>
          <w:rFonts w:eastAsia="ＭＳ 明朝" w:hint="eastAsia"/>
          <w:sz w:val="22"/>
          <w:szCs w:val="22"/>
          <w:lang w:val="en-US"/>
        </w:rPr>
        <w:t>COT sharing</w:t>
      </w:r>
      <w:r w:rsidR="00E807F9">
        <w:rPr>
          <w:rFonts w:eastAsia="ＭＳ 明朝"/>
          <w:sz w:val="22"/>
          <w:szCs w:val="22"/>
          <w:lang w:val="en-US"/>
        </w:rPr>
        <w:t xml:space="preserve">, </w:t>
      </w:r>
      <w:r w:rsidR="00E807F9">
        <w:rPr>
          <w:rFonts w:eastAsia="ＭＳ 明朝"/>
          <w:sz w:val="22"/>
          <w:szCs w:val="22"/>
        </w:rPr>
        <w:t>following points are still FFS:</w:t>
      </w:r>
    </w:p>
    <w:p w14:paraId="58E32B55" w14:textId="04872ACB" w:rsidR="00E807F9" w:rsidRDefault="00E807F9" w:rsidP="008013AE">
      <w:pPr>
        <w:pStyle w:val="afc"/>
        <w:numPr>
          <w:ilvl w:val="0"/>
          <w:numId w:val="22"/>
        </w:numPr>
        <w:spacing w:afterLines="50" w:after="120"/>
        <w:ind w:leftChars="0"/>
        <w:rPr>
          <w:rFonts w:eastAsia="ＭＳ 明朝"/>
          <w:sz w:val="22"/>
          <w:szCs w:val="22"/>
        </w:rPr>
      </w:pPr>
      <w:r>
        <w:rPr>
          <w:rFonts w:eastAsia="ＭＳ 明朝"/>
          <w:sz w:val="22"/>
          <w:szCs w:val="22"/>
        </w:rPr>
        <w:t xml:space="preserve">Whether </w:t>
      </w:r>
      <w:r w:rsidR="008013AE">
        <w:rPr>
          <w:rFonts w:eastAsia="ＭＳ 明朝"/>
          <w:sz w:val="22"/>
          <w:szCs w:val="22"/>
        </w:rPr>
        <w:t>any additional conditions are necessary for the following case:</w:t>
      </w:r>
      <w:r w:rsidR="008013AE">
        <w:rPr>
          <w:rFonts w:eastAsia="ＭＳ 明朝"/>
          <w:sz w:val="22"/>
          <w:szCs w:val="22"/>
        </w:rPr>
        <w:br/>
      </w:r>
      <w:r w:rsidR="008013AE" w:rsidRPr="008013AE">
        <w:rPr>
          <w:rFonts w:eastAsia="ＭＳ 明朝"/>
          <w:sz w:val="22"/>
          <w:szCs w:val="22"/>
        </w:rPr>
        <w:t>The gNB determines a COT in an FFP associated to a UE, that is initiated by the UE, if the gNB detects a UL transmission from the UE starting from the beginning of the FFP and ending before the idle period of the FFP.</w:t>
      </w:r>
    </w:p>
    <w:p w14:paraId="50816D96" w14:textId="17FE6F64" w:rsidR="008013AE" w:rsidRDefault="008013AE" w:rsidP="008013AE">
      <w:pPr>
        <w:pStyle w:val="afc"/>
        <w:numPr>
          <w:ilvl w:val="0"/>
          <w:numId w:val="22"/>
        </w:numPr>
        <w:spacing w:afterLines="50" w:after="120"/>
        <w:ind w:leftChars="0"/>
        <w:rPr>
          <w:rFonts w:eastAsia="ＭＳ 明朝"/>
          <w:sz w:val="22"/>
          <w:szCs w:val="22"/>
        </w:rPr>
      </w:pPr>
      <w:r>
        <w:rPr>
          <w:rFonts w:eastAsia="ＭＳ 明朝"/>
          <w:sz w:val="22"/>
          <w:szCs w:val="22"/>
        </w:rPr>
        <w:lastRenderedPageBreak/>
        <w:t>W</w:t>
      </w:r>
      <w:r w:rsidRPr="008013AE">
        <w:rPr>
          <w:rFonts w:eastAsia="ＭＳ 明朝"/>
          <w:sz w:val="22"/>
          <w:szCs w:val="22"/>
        </w:rPr>
        <w:t>hether/how UE</w:t>
      </w:r>
      <w:r>
        <w:rPr>
          <w:rFonts w:eastAsia="ＭＳ 明朝"/>
          <w:sz w:val="22"/>
          <w:szCs w:val="22"/>
        </w:rPr>
        <w:t>-to-</w:t>
      </w:r>
      <w:r w:rsidRPr="008013AE">
        <w:rPr>
          <w:rFonts w:eastAsia="ＭＳ 明朝"/>
          <w:sz w:val="22"/>
          <w:szCs w:val="22"/>
        </w:rPr>
        <w:t>gNB COT sharing when the gap is &gt;</w:t>
      </w:r>
      <w:r>
        <w:rPr>
          <w:rFonts w:eastAsia="ＭＳ 明朝"/>
          <w:sz w:val="22"/>
          <w:szCs w:val="22"/>
        </w:rPr>
        <w:t xml:space="preserve"> </w:t>
      </w:r>
      <w:r w:rsidRPr="008013AE">
        <w:rPr>
          <w:rFonts w:eastAsia="ＭＳ 明朝"/>
          <w:sz w:val="22"/>
          <w:szCs w:val="22"/>
        </w:rPr>
        <w:t>16us</w:t>
      </w:r>
    </w:p>
    <w:p w14:paraId="4366717A" w14:textId="5F756A2B" w:rsidR="002635E6" w:rsidRPr="008013AE" w:rsidRDefault="008013AE" w:rsidP="00AE49BB">
      <w:pPr>
        <w:spacing w:afterLines="50" w:after="120"/>
        <w:jc w:val="both"/>
        <w:rPr>
          <w:rFonts w:eastAsia="ＭＳ 明朝"/>
          <w:sz w:val="22"/>
          <w:szCs w:val="22"/>
        </w:rPr>
      </w:pPr>
      <w:r>
        <w:rPr>
          <w:rFonts w:eastAsia="ＭＳ 明朝"/>
          <w:sz w:val="22"/>
          <w:szCs w:val="22"/>
        </w:rPr>
        <w:t>We think the mechanism of gNB-to-UE COT sharing in Rel.16 can be reused, and hence, no more condition is necessary for the 1</w:t>
      </w:r>
      <w:r w:rsidRPr="008013AE">
        <w:rPr>
          <w:rFonts w:eastAsia="ＭＳ 明朝"/>
          <w:sz w:val="22"/>
          <w:szCs w:val="22"/>
          <w:vertAlign w:val="superscript"/>
        </w:rPr>
        <w:t>st</w:t>
      </w:r>
      <w:r>
        <w:rPr>
          <w:rFonts w:eastAsia="ＭＳ 明朝"/>
          <w:sz w:val="22"/>
          <w:szCs w:val="22"/>
        </w:rPr>
        <w:t xml:space="preserve"> point and 9 us CCA </w:t>
      </w:r>
      <w:r w:rsidR="00014010">
        <w:rPr>
          <w:rFonts w:eastAsia="ＭＳ 明朝"/>
          <w:sz w:val="22"/>
          <w:szCs w:val="22"/>
        </w:rPr>
        <w:t>is necessary for the 2</w:t>
      </w:r>
      <w:r w:rsidR="00014010" w:rsidRPr="00014010">
        <w:rPr>
          <w:rFonts w:eastAsia="ＭＳ 明朝"/>
          <w:sz w:val="22"/>
          <w:szCs w:val="22"/>
          <w:vertAlign w:val="superscript"/>
        </w:rPr>
        <w:t>nd</w:t>
      </w:r>
      <w:r w:rsidR="00014010">
        <w:rPr>
          <w:rFonts w:eastAsia="ＭＳ 明朝"/>
          <w:sz w:val="22"/>
          <w:szCs w:val="22"/>
        </w:rPr>
        <w:t xml:space="preserve"> point.</w:t>
      </w:r>
    </w:p>
    <w:p w14:paraId="52BC96F9" w14:textId="0AD114FF" w:rsidR="0090351E" w:rsidRDefault="0090351E" w:rsidP="0090351E">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7</w:t>
      </w:r>
      <w:r w:rsidRPr="00753F9E">
        <w:rPr>
          <w:rFonts w:eastAsia="ＭＳ 明朝" w:hint="eastAsia"/>
          <w:b/>
          <w:sz w:val="22"/>
          <w:szCs w:val="22"/>
        </w:rPr>
        <w:t>:</w:t>
      </w:r>
    </w:p>
    <w:p w14:paraId="27F8B6D5" w14:textId="234ABC1B" w:rsidR="0090351E" w:rsidRPr="00FA4EB0" w:rsidRDefault="0090351E" w:rsidP="0090351E">
      <w:pPr>
        <w:pStyle w:val="afc"/>
        <w:numPr>
          <w:ilvl w:val="0"/>
          <w:numId w:val="20"/>
        </w:numPr>
        <w:spacing w:afterLines="50" w:after="120"/>
        <w:ind w:leftChars="0"/>
        <w:jc w:val="both"/>
        <w:rPr>
          <w:rFonts w:eastAsia="ＭＳ 明朝"/>
          <w:sz w:val="22"/>
          <w:szCs w:val="22"/>
        </w:rPr>
      </w:pPr>
      <w:r>
        <w:rPr>
          <w:rFonts w:eastAsia="ＭＳ 明朝"/>
          <w:b/>
          <w:sz w:val="22"/>
          <w:szCs w:val="22"/>
        </w:rPr>
        <w:t xml:space="preserve">No </w:t>
      </w:r>
      <w:r w:rsidR="00FA4EB0">
        <w:rPr>
          <w:rFonts w:eastAsia="ＭＳ 明朝"/>
          <w:b/>
          <w:sz w:val="22"/>
          <w:szCs w:val="22"/>
        </w:rPr>
        <w:t>more condition is necessary for the following case</w:t>
      </w:r>
      <w:r w:rsidR="005C6EBD">
        <w:rPr>
          <w:rFonts w:eastAsia="ＭＳ 明朝"/>
          <w:b/>
          <w:sz w:val="22"/>
          <w:szCs w:val="22"/>
        </w:rPr>
        <w:t>:</w:t>
      </w:r>
    </w:p>
    <w:p w14:paraId="384CB0A3" w14:textId="5D9CBAEF" w:rsidR="00FA4EB0" w:rsidRPr="00FA4EB0" w:rsidRDefault="00FA4EB0" w:rsidP="00FA4EB0">
      <w:pPr>
        <w:pStyle w:val="afc"/>
        <w:numPr>
          <w:ilvl w:val="1"/>
          <w:numId w:val="20"/>
        </w:numPr>
        <w:spacing w:afterLines="50" w:after="120"/>
        <w:ind w:leftChars="0"/>
        <w:jc w:val="both"/>
        <w:rPr>
          <w:rFonts w:eastAsia="ＭＳ 明朝"/>
          <w:b/>
          <w:sz w:val="22"/>
          <w:szCs w:val="22"/>
        </w:rPr>
      </w:pPr>
      <w:r w:rsidRPr="00FA4EB0">
        <w:rPr>
          <w:rFonts w:eastAsia="ＭＳ 明朝"/>
          <w:b/>
          <w:sz w:val="22"/>
          <w:szCs w:val="22"/>
        </w:rPr>
        <w:t>The gNB determines a COT in an FFP associated to a UE, that is initiated by the UE, if the gNB detects a UL transmission from the UE starting from the beginning of the FFP and ending before the idle period of the FFP</w:t>
      </w:r>
    </w:p>
    <w:p w14:paraId="4D82DA1E" w14:textId="0E919EDB" w:rsidR="00FA4EB0" w:rsidRPr="00FA4EB0" w:rsidRDefault="00FA4EB0" w:rsidP="00FA4EB0">
      <w:pPr>
        <w:spacing w:afterLines="50" w:after="120"/>
        <w:jc w:val="both"/>
        <w:rPr>
          <w:rFonts w:eastAsia="ＭＳ 明朝"/>
          <w:b/>
          <w:sz w:val="22"/>
          <w:szCs w:val="22"/>
        </w:rPr>
      </w:pPr>
      <w:r w:rsidRPr="00FA4EB0">
        <w:rPr>
          <w:rFonts w:eastAsia="ＭＳ 明朝"/>
          <w:b/>
          <w:sz w:val="22"/>
          <w:szCs w:val="22"/>
          <w:u w:val="single"/>
        </w:rPr>
        <w:t>Proposal</w:t>
      </w:r>
      <w:r w:rsidRPr="00FA4EB0">
        <w:rPr>
          <w:rFonts w:eastAsia="ＭＳ 明朝" w:hint="eastAsia"/>
          <w:b/>
          <w:sz w:val="22"/>
          <w:szCs w:val="22"/>
          <w:u w:val="single"/>
        </w:rPr>
        <w:t xml:space="preserve"> </w:t>
      </w:r>
      <w:r>
        <w:rPr>
          <w:rFonts w:eastAsia="ＭＳ 明朝" w:hint="eastAsia"/>
          <w:b/>
          <w:sz w:val="22"/>
          <w:szCs w:val="22"/>
          <w:u w:val="single"/>
        </w:rPr>
        <w:t>8</w:t>
      </w:r>
      <w:r w:rsidRPr="00FA4EB0">
        <w:rPr>
          <w:rFonts w:eastAsia="ＭＳ 明朝" w:hint="eastAsia"/>
          <w:b/>
          <w:sz w:val="22"/>
          <w:szCs w:val="22"/>
        </w:rPr>
        <w:t>:</w:t>
      </w:r>
    </w:p>
    <w:p w14:paraId="73E6B0BC" w14:textId="4C6639FE" w:rsidR="00FA4EB0" w:rsidRPr="00FA4EB0" w:rsidRDefault="00FA4EB0" w:rsidP="00FA4EB0">
      <w:pPr>
        <w:pStyle w:val="afc"/>
        <w:numPr>
          <w:ilvl w:val="0"/>
          <w:numId w:val="20"/>
        </w:numPr>
        <w:spacing w:afterLines="50" w:after="120"/>
        <w:ind w:leftChars="0"/>
        <w:jc w:val="both"/>
        <w:rPr>
          <w:rFonts w:eastAsia="ＭＳ 明朝"/>
          <w:b/>
          <w:sz w:val="22"/>
          <w:szCs w:val="22"/>
        </w:rPr>
      </w:pPr>
      <w:r w:rsidRPr="00FA4EB0">
        <w:rPr>
          <w:rFonts w:eastAsia="ＭＳ 明朝"/>
          <w:b/>
          <w:sz w:val="22"/>
          <w:szCs w:val="22"/>
        </w:rPr>
        <w:t>9 us CCA</w:t>
      </w:r>
      <w:r>
        <w:rPr>
          <w:rFonts w:eastAsia="ＭＳ 明朝"/>
          <w:b/>
          <w:sz w:val="22"/>
          <w:szCs w:val="22"/>
        </w:rPr>
        <w:t xml:space="preserve"> is applied to the gNB’s transmission in </w:t>
      </w:r>
      <w:r w:rsidRPr="00FA4EB0">
        <w:rPr>
          <w:rFonts w:eastAsia="ＭＳ 明朝"/>
          <w:b/>
          <w:sz w:val="22"/>
          <w:szCs w:val="22"/>
        </w:rPr>
        <w:t>UE-to-gNB COT sharing when the gap is &gt; 16us</w:t>
      </w:r>
    </w:p>
    <w:p w14:paraId="65721C8A" w14:textId="77777777" w:rsidR="002635E6" w:rsidRPr="0090351E" w:rsidRDefault="002635E6" w:rsidP="00AE49BB">
      <w:pPr>
        <w:spacing w:afterLines="50" w:after="120"/>
        <w:jc w:val="both"/>
        <w:rPr>
          <w:rFonts w:eastAsia="ＭＳ 明朝"/>
          <w:sz w:val="22"/>
          <w:szCs w:val="22"/>
        </w:rPr>
      </w:pPr>
    </w:p>
    <w:p w14:paraId="512228A0" w14:textId="7894546C" w:rsidR="00E16C39" w:rsidRPr="00E16C39" w:rsidRDefault="00875C82" w:rsidP="001D1142">
      <w:pPr>
        <w:pStyle w:val="1"/>
        <w:numPr>
          <w:ilvl w:val="1"/>
          <w:numId w:val="6"/>
        </w:numPr>
        <w:spacing w:before="180" w:after="120"/>
        <w:rPr>
          <w:rFonts w:eastAsia="ＭＳ 明朝"/>
          <w:b/>
          <w:bCs/>
          <w:sz w:val="24"/>
          <w:szCs w:val="24"/>
          <w:lang w:val="en-US"/>
        </w:rPr>
      </w:pPr>
      <w:r>
        <w:rPr>
          <w:rFonts w:eastAsia="ＭＳ 明朝"/>
          <w:b/>
          <w:bCs/>
          <w:sz w:val="24"/>
          <w:szCs w:val="24"/>
          <w:lang w:val="en-US"/>
        </w:rPr>
        <w:t>H</w:t>
      </w:r>
      <w:r w:rsidR="001D1142" w:rsidRPr="001D1142">
        <w:rPr>
          <w:rFonts w:eastAsia="ＭＳ 明朝"/>
          <w:b/>
          <w:bCs/>
          <w:sz w:val="24"/>
          <w:szCs w:val="24"/>
          <w:lang w:val="en-US"/>
        </w:rPr>
        <w:t>armonizing UL configured-grant enhancements in NR-U and URLLC</w:t>
      </w:r>
    </w:p>
    <w:p w14:paraId="4862B3AC" w14:textId="25F1A967" w:rsidR="000F4BF5" w:rsidRDefault="00C854D9" w:rsidP="00C854D9">
      <w:pPr>
        <w:spacing w:afterLines="50" w:after="120"/>
        <w:jc w:val="both"/>
        <w:rPr>
          <w:rFonts w:eastAsia="ＭＳ 明朝"/>
          <w:sz w:val="22"/>
          <w:szCs w:val="22"/>
          <w:lang w:val="en-US"/>
        </w:rPr>
      </w:pPr>
      <w:r>
        <w:rPr>
          <w:rFonts w:eastAsia="ＭＳ 明朝"/>
          <w:sz w:val="22"/>
          <w:szCs w:val="22"/>
          <w:lang w:val="en-US"/>
        </w:rPr>
        <w:t>In Rel.16, CG-PUSCH has been enhanced both in URLLC/IIoT and NR-U</w:t>
      </w:r>
      <w:r w:rsidR="00342E3A">
        <w:rPr>
          <w:rFonts w:eastAsia="ＭＳ 明朝"/>
          <w:sz w:val="22"/>
          <w:szCs w:val="22"/>
          <w:lang w:val="en-US"/>
        </w:rPr>
        <w:t xml:space="preserve"> and the enhanced features are summarized in Table 1</w:t>
      </w:r>
      <w:r>
        <w:rPr>
          <w:rFonts w:eastAsia="ＭＳ 明朝"/>
          <w:sz w:val="22"/>
          <w:szCs w:val="22"/>
          <w:lang w:val="en-US"/>
        </w:rPr>
        <w:t>.</w:t>
      </w:r>
      <w:r w:rsidR="001E0A41" w:rsidRPr="001E0A41">
        <w:rPr>
          <w:rFonts w:eastAsia="ＭＳ 明朝"/>
          <w:sz w:val="22"/>
          <w:szCs w:val="22"/>
          <w:lang w:val="en-US"/>
        </w:rPr>
        <w:t xml:space="preserve"> </w:t>
      </w:r>
      <w:r w:rsidR="001E0A41">
        <w:rPr>
          <w:rFonts w:eastAsia="ＭＳ 明朝"/>
          <w:sz w:val="22"/>
          <w:szCs w:val="22"/>
          <w:lang w:val="en-US"/>
        </w:rPr>
        <w:t xml:space="preserve">CG-DFI and CG-UCI has to be indicated in unlicensed band for CG-PUSCH in current spec. CG-DFI and CG-UCI are useful to improve UL HARQ operation when there is frequent LBT failure. CG-UCI is also useful to indicate COT sharing information to gNB. While for </w:t>
      </w:r>
      <w:r>
        <w:rPr>
          <w:rFonts w:eastAsia="ＭＳ 明朝"/>
          <w:sz w:val="22"/>
          <w:szCs w:val="22"/>
          <w:lang w:val="en-US"/>
        </w:rPr>
        <w:t xml:space="preserve">URLLC use case and in controlled environment, Rel.16 </w:t>
      </w:r>
      <w:r w:rsidR="00BB6437">
        <w:rPr>
          <w:rFonts w:eastAsia="ＭＳ 明朝"/>
          <w:sz w:val="22"/>
          <w:szCs w:val="22"/>
          <w:lang w:val="en-US"/>
        </w:rPr>
        <w:t xml:space="preserve">URLLC </w:t>
      </w:r>
      <w:r>
        <w:rPr>
          <w:rFonts w:eastAsia="ＭＳ 明朝"/>
          <w:sz w:val="22"/>
          <w:szCs w:val="22"/>
          <w:lang w:val="en-US"/>
        </w:rPr>
        <w:t>CG feature</w:t>
      </w:r>
      <w:r w:rsidR="00BB6437">
        <w:rPr>
          <w:rFonts w:eastAsia="ＭＳ 明朝"/>
          <w:sz w:val="22"/>
          <w:szCs w:val="22"/>
          <w:lang w:val="en-US"/>
        </w:rPr>
        <w:t>s</w:t>
      </w:r>
      <w:r>
        <w:rPr>
          <w:rFonts w:eastAsia="ＭＳ 明朝"/>
          <w:sz w:val="22"/>
          <w:szCs w:val="22"/>
          <w:lang w:val="en-US"/>
        </w:rPr>
        <w:t xml:space="preserve"> would be enough</w:t>
      </w:r>
      <w:r w:rsidR="00A91871">
        <w:rPr>
          <w:rFonts w:eastAsia="ＭＳ 明朝" w:hint="eastAsia"/>
          <w:sz w:val="22"/>
          <w:szCs w:val="22"/>
          <w:lang w:val="en-US"/>
        </w:rPr>
        <w:t>.</w:t>
      </w:r>
      <w:r>
        <w:rPr>
          <w:rFonts w:eastAsia="ＭＳ 明朝"/>
          <w:sz w:val="22"/>
          <w:szCs w:val="22"/>
          <w:lang w:val="en-US"/>
        </w:rPr>
        <w:t xml:space="preserve"> Therefore it should be supported that both CG-PUSCH with/without CG-DFI or CG-UCI can be configured by gNB for flexible CG-PUSCH operation.</w:t>
      </w:r>
    </w:p>
    <w:p w14:paraId="0D51E951" w14:textId="06252928" w:rsidR="00894C38" w:rsidRDefault="000F4BF5" w:rsidP="00AE49BB">
      <w:pPr>
        <w:spacing w:afterLines="50" w:after="120"/>
        <w:jc w:val="both"/>
        <w:rPr>
          <w:rFonts w:eastAsia="ＭＳ 明朝"/>
          <w:sz w:val="22"/>
          <w:szCs w:val="22"/>
          <w:lang w:val="en-US"/>
        </w:rPr>
      </w:pPr>
      <w:r>
        <w:rPr>
          <w:rFonts w:eastAsia="ＭＳ 明朝"/>
          <w:sz w:val="22"/>
          <w:szCs w:val="22"/>
          <w:lang w:val="en-US"/>
        </w:rPr>
        <w:t>It was agreed at RAN1#102-e that, a</w:t>
      </w:r>
      <w:r w:rsidRPr="000F4BF5">
        <w:rPr>
          <w:rFonts w:eastAsia="ＭＳ 明朝"/>
          <w:sz w:val="22"/>
          <w:szCs w:val="22"/>
          <w:lang w:val="en-US"/>
        </w:rPr>
        <w:t xml:space="preserve">t least for FBE, configuration of </w:t>
      </w:r>
      <w:r w:rsidRPr="000F4BF5">
        <w:rPr>
          <w:rFonts w:eastAsia="ＭＳ 明朝"/>
          <w:i/>
          <w:sz w:val="22"/>
          <w:szCs w:val="22"/>
          <w:lang w:val="en-US"/>
        </w:rPr>
        <w:t>cg-RetransmissionTimer</w:t>
      </w:r>
      <w:r w:rsidRPr="000F4BF5">
        <w:rPr>
          <w:rFonts w:eastAsia="ＭＳ 明朝"/>
          <w:sz w:val="22"/>
          <w:szCs w:val="22"/>
          <w:lang w:val="en-US"/>
        </w:rPr>
        <w:t xml:space="preserve"> </w:t>
      </w:r>
      <w:r w:rsidR="00194BDF">
        <w:rPr>
          <w:rFonts w:eastAsia="ＭＳ 明朝"/>
          <w:sz w:val="22"/>
          <w:szCs w:val="22"/>
          <w:lang w:val="en-US"/>
        </w:rPr>
        <w:t>is</w:t>
      </w:r>
      <w:r w:rsidRPr="000F4BF5">
        <w:rPr>
          <w:rFonts w:eastAsia="ＭＳ 明朝"/>
          <w:sz w:val="22"/>
          <w:szCs w:val="22"/>
          <w:lang w:val="en-US"/>
        </w:rPr>
        <w:t xml:space="preserve"> not mandated when </w:t>
      </w:r>
      <w:r>
        <w:rPr>
          <w:rFonts w:eastAsia="ＭＳ 明朝"/>
          <w:sz w:val="22"/>
          <w:szCs w:val="22"/>
          <w:lang w:val="en-US"/>
        </w:rPr>
        <w:t>CG is</w:t>
      </w:r>
      <w:r w:rsidRPr="000F4BF5">
        <w:rPr>
          <w:rFonts w:eastAsia="ＭＳ 明朝"/>
          <w:sz w:val="22"/>
          <w:szCs w:val="22"/>
          <w:lang w:val="en-US"/>
        </w:rPr>
        <w:t xml:space="preserve"> configured on unlicensed spectrum</w:t>
      </w:r>
      <w:r>
        <w:rPr>
          <w:rFonts w:eastAsia="ＭＳ 明朝"/>
          <w:sz w:val="22"/>
          <w:szCs w:val="22"/>
          <w:lang w:val="en-US"/>
        </w:rPr>
        <w:t>, which means</w:t>
      </w:r>
      <w:r w:rsidR="00194BDF">
        <w:rPr>
          <w:rFonts w:eastAsia="ＭＳ 明朝"/>
          <w:sz w:val="22"/>
          <w:szCs w:val="22"/>
          <w:lang w:val="en-US"/>
        </w:rPr>
        <w:t xml:space="preserve"> CG-PUSCH </w:t>
      </w:r>
      <w:r w:rsidR="009817CF">
        <w:rPr>
          <w:rFonts w:eastAsia="ＭＳ 明朝"/>
          <w:sz w:val="22"/>
          <w:szCs w:val="22"/>
          <w:lang w:val="en-US"/>
        </w:rPr>
        <w:t>with/</w:t>
      </w:r>
      <w:r w:rsidR="00194BDF">
        <w:rPr>
          <w:rFonts w:eastAsia="ＭＳ 明朝"/>
          <w:sz w:val="22"/>
          <w:szCs w:val="22"/>
          <w:lang w:val="en-US"/>
        </w:rPr>
        <w:t>without CG-DFI can be configured</w:t>
      </w:r>
      <w:r w:rsidR="009817CF">
        <w:rPr>
          <w:rFonts w:eastAsia="ＭＳ 明朝"/>
          <w:sz w:val="22"/>
          <w:szCs w:val="22"/>
          <w:lang w:val="en-US"/>
        </w:rPr>
        <w:t xml:space="preserve"> by gNB</w:t>
      </w:r>
      <w:r w:rsidR="00194BDF">
        <w:rPr>
          <w:rFonts w:eastAsia="ＭＳ 明朝"/>
          <w:sz w:val="22"/>
          <w:szCs w:val="22"/>
          <w:lang w:val="en-US"/>
        </w:rPr>
        <w:t xml:space="preserve">. </w:t>
      </w:r>
      <w:r w:rsidR="00CC305B">
        <w:rPr>
          <w:rFonts w:eastAsia="ＭＳ 明朝"/>
          <w:sz w:val="22"/>
          <w:szCs w:val="22"/>
          <w:lang w:val="en-US"/>
        </w:rPr>
        <w:t xml:space="preserve">It is our understanding that controlled environment is not limited to FBE operation, rather it is operator’s choice whether FBE or LBE is adopted as long as </w:t>
      </w:r>
      <w:r w:rsidR="00CC305B" w:rsidRPr="00CC305B">
        <w:rPr>
          <w:rFonts w:eastAsia="ＭＳ 明朝"/>
          <w:sz w:val="22"/>
          <w:szCs w:val="22"/>
          <w:lang w:val="en-US"/>
        </w:rPr>
        <w:t>unexpected interference from other systems and/or radio access technology only sporadically happens</w:t>
      </w:r>
      <w:r w:rsidR="00CC305B">
        <w:rPr>
          <w:rFonts w:eastAsia="ＭＳ 明朝"/>
          <w:sz w:val="22"/>
          <w:szCs w:val="22"/>
          <w:lang w:val="en-US"/>
        </w:rPr>
        <w:t xml:space="preserve">. Therefore, the above agreement should be applied to LBE </w:t>
      </w:r>
      <w:r w:rsidR="004A2580">
        <w:rPr>
          <w:rFonts w:eastAsia="ＭＳ 明朝"/>
          <w:sz w:val="22"/>
          <w:szCs w:val="22"/>
          <w:lang w:val="en-US"/>
        </w:rPr>
        <w:t>as well.</w:t>
      </w:r>
    </w:p>
    <w:p w14:paraId="0FF1C8A9" w14:textId="09E6141A" w:rsidR="001F6E3E" w:rsidRDefault="001F6E3E" w:rsidP="001F6E3E">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A03601">
        <w:rPr>
          <w:rFonts w:eastAsia="ＭＳ 明朝" w:hint="eastAsia"/>
          <w:b/>
          <w:sz w:val="22"/>
          <w:szCs w:val="22"/>
          <w:u w:val="single"/>
        </w:rPr>
        <w:t>9</w:t>
      </w:r>
      <w:r w:rsidRPr="00753F9E">
        <w:rPr>
          <w:rFonts w:eastAsia="ＭＳ 明朝" w:hint="eastAsia"/>
          <w:b/>
          <w:sz w:val="22"/>
          <w:szCs w:val="22"/>
        </w:rPr>
        <w:t>:</w:t>
      </w:r>
    </w:p>
    <w:p w14:paraId="090A05F7" w14:textId="2003F4A6" w:rsidR="001F6E3E" w:rsidRPr="001F6E3E" w:rsidRDefault="001F6E3E" w:rsidP="00A82FDE">
      <w:pPr>
        <w:pStyle w:val="afc"/>
        <w:numPr>
          <w:ilvl w:val="0"/>
          <w:numId w:val="20"/>
        </w:numPr>
        <w:spacing w:afterLines="50" w:after="120"/>
        <w:ind w:leftChars="0"/>
        <w:jc w:val="both"/>
        <w:rPr>
          <w:rFonts w:eastAsia="ＭＳ 明朝"/>
          <w:b/>
          <w:sz w:val="22"/>
          <w:szCs w:val="22"/>
        </w:rPr>
      </w:pPr>
      <w:r>
        <w:rPr>
          <w:rFonts w:eastAsia="ＭＳ 明朝"/>
          <w:b/>
          <w:sz w:val="22"/>
          <w:szCs w:val="22"/>
        </w:rPr>
        <w:t xml:space="preserve">Support </w:t>
      </w:r>
      <w:r w:rsidRPr="004C3317">
        <w:rPr>
          <w:rFonts w:eastAsia="ＭＳ 明朝"/>
          <w:b/>
          <w:sz w:val="22"/>
          <w:szCs w:val="22"/>
        </w:rPr>
        <w:t>C</w:t>
      </w:r>
      <w:r>
        <w:rPr>
          <w:rFonts w:eastAsia="ＭＳ 明朝"/>
          <w:b/>
          <w:sz w:val="22"/>
          <w:szCs w:val="22"/>
        </w:rPr>
        <w:t>G-PUSCH with/without</w:t>
      </w:r>
      <w:r w:rsidRPr="004C3317">
        <w:rPr>
          <w:rFonts w:eastAsia="ＭＳ 明朝"/>
          <w:b/>
          <w:sz w:val="22"/>
          <w:szCs w:val="22"/>
        </w:rPr>
        <w:t xml:space="preserve"> CG-UCI</w:t>
      </w:r>
      <w:r>
        <w:rPr>
          <w:rFonts w:eastAsia="ＭＳ 明朝"/>
          <w:b/>
          <w:sz w:val="22"/>
          <w:szCs w:val="22"/>
        </w:rPr>
        <w:t xml:space="preserve"> by configuration in unlicensed band</w:t>
      </w:r>
    </w:p>
    <w:p w14:paraId="70239761" w14:textId="1248FED3" w:rsidR="009474C0" w:rsidRDefault="009474C0" w:rsidP="009474C0">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A03601">
        <w:rPr>
          <w:rFonts w:eastAsia="ＭＳ 明朝" w:hint="eastAsia"/>
          <w:b/>
          <w:sz w:val="22"/>
          <w:szCs w:val="22"/>
          <w:u w:val="single"/>
        </w:rPr>
        <w:t>10</w:t>
      </w:r>
      <w:r w:rsidRPr="00753F9E">
        <w:rPr>
          <w:rFonts w:eastAsia="ＭＳ 明朝" w:hint="eastAsia"/>
          <w:b/>
          <w:sz w:val="22"/>
          <w:szCs w:val="22"/>
        </w:rPr>
        <w:t>:</w:t>
      </w:r>
    </w:p>
    <w:p w14:paraId="51367184" w14:textId="15E34199" w:rsidR="009474C0" w:rsidRPr="009474C0" w:rsidRDefault="009474C0" w:rsidP="00A82FDE">
      <w:pPr>
        <w:pStyle w:val="afc"/>
        <w:numPr>
          <w:ilvl w:val="0"/>
          <w:numId w:val="20"/>
        </w:numPr>
        <w:spacing w:afterLines="50" w:after="120"/>
        <w:ind w:leftChars="0"/>
        <w:jc w:val="both"/>
        <w:rPr>
          <w:rFonts w:eastAsia="ＭＳ 明朝"/>
          <w:b/>
          <w:sz w:val="22"/>
          <w:szCs w:val="22"/>
        </w:rPr>
      </w:pPr>
      <w:r>
        <w:rPr>
          <w:rFonts w:eastAsia="ＭＳ 明朝"/>
          <w:b/>
          <w:sz w:val="22"/>
          <w:szCs w:val="22"/>
        </w:rPr>
        <w:t xml:space="preserve">Configuration of </w:t>
      </w:r>
      <w:r w:rsidRPr="009474C0">
        <w:rPr>
          <w:rFonts w:eastAsia="ＭＳ 明朝"/>
          <w:b/>
          <w:i/>
          <w:sz w:val="22"/>
          <w:szCs w:val="22"/>
        </w:rPr>
        <w:t>cg-RetransmissionTimer</w:t>
      </w:r>
      <w:r w:rsidRPr="009474C0">
        <w:rPr>
          <w:rFonts w:eastAsia="ＭＳ 明朝"/>
          <w:b/>
          <w:sz w:val="22"/>
          <w:szCs w:val="22"/>
        </w:rPr>
        <w:t xml:space="preserve"> is not mandated when CG is configured on unlicensed spectrum</w:t>
      </w:r>
      <w:r>
        <w:rPr>
          <w:rFonts w:eastAsia="ＭＳ 明朝"/>
          <w:b/>
          <w:sz w:val="22"/>
          <w:szCs w:val="22"/>
        </w:rPr>
        <w:t xml:space="preserve"> for </w:t>
      </w:r>
      <w:r w:rsidR="00E84191">
        <w:rPr>
          <w:rFonts w:eastAsia="ＭＳ 明朝"/>
          <w:b/>
          <w:sz w:val="22"/>
          <w:szCs w:val="22"/>
        </w:rPr>
        <w:t xml:space="preserve">both </w:t>
      </w:r>
      <w:r>
        <w:rPr>
          <w:rFonts w:eastAsia="ＭＳ 明朝"/>
          <w:b/>
          <w:sz w:val="22"/>
          <w:szCs w:val="22"/>
        </w:rPr>
        <w:t>FBE and LBE</w:t>
      </w:r>
    </w:p>
    <w:p w14:paraId="007E8EED" w14:textId="77777777" w:rsidR="009474C0" w:rsidRDefault="009474C0" w:rsidP="00AE49BB">
      <w:pPr>
        <w:spacing w:afterLines="50" w:after="120"/>
        <w:jc w:val="both"/>
        <w:rPr>
          <w:rFonts w:eastAsia="ＭＳ 明朝"/>
          <w:sz w:val="22"/>
          <w:szCs w:val="22"/>
          <w:lang w:val="en-US"/>
        </w:rPr>
      </w:pPr>
    </w:p>
    <w:p w14:paraId="247A19D0" w14:textId="271C58C4" w:rsidR="00F7606E" w:rsidRDefault="00F7606E" w:rsidP="00F7606E">
      <w:pPr>
        <w:spacing w:afterLines="50" w:after="120"/>
        <w:jc w:val="center"/>
        <w:rPr>
          <w:rFonts w:eastAsia="ＭＳ 明朝"/>
          <w:sz w:val="22"/>
          <w:szCs w:val="22"/>
          <w:lang w:val="en-US"/>
        </w:rPr>
      </w:pPr>
      <w:r w:rsidRPr="00F7606E">
        <w:rPr>
          <w:rFonts w:eastAsia="ＭＳ 明朝"/>
          <w:sz w:val="22"/>
          <w:szCs w:val="22"/>
          <w:lang w:val="en-US"/>
        </w:rPr>
        <w:t>Table 1</w:t>
      </w:r>
      <w:r>
        <w:rPr>
          <w:rFonts w:eastAsia="ＭＳ 明朝"/>
          <w:sz w:val="22"/>
          <w:szCs w:val="22"/>
          <w:lang w:val="en-US"/>
        </w:rPr>
        <w:t xml:space="preserve">. </w:t>
      </w:r>
      <w:r w:rsidRPr="00F7606E">
        <w:rPr>
          <w:rFonts w:eastAsia="ＭＳ 明朝"/>
          <w:sz w:val="22"/>
          <w:szCs w:val="22"/>
          <w:lang w:val="en-US"/>
        </w:rPr>
        <w:t xml:space="preserve"> Configured grant (CG) features supported in Rel.16 NR-U and Rel.16 URLLC (R1-2005376</w:t>
      </w:r>
      <w:r>
        <w:rPr>
          <w:rFonts w:eastAsia="ＭＳ 明朝"/>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6"/>
        <w:gridCol w:w="3928"/>
        <w:gridCol w:w="3928"/>
      </w:tblGrid>
      <w:tr w:rsidR="002C0042" w:rsidRPr="002C0042" w14:paraId="6FE8AAB3" w14:textId="77777777" w:rsidTr="00F7606E">
        <w:tc>
          <w:tcPr>
            <w:tcW w:w="0" w:type="auto"/>
            <w:tcBorders>
              <w:top w:val="single" w:sz="4" w:space="0" w:color="auto"/>
              <w:left w:val="single" w:sz="4" w:space="0" w:color="auto"/>
              <w:bottom w:val="single" w:sz="4" w:space="0" w:color="auto"/>
              <w:right w:val="single" w:sz="4" w:space="0" w:color="auto"/>
            </w:tcBorders>
            <w:shd w:val="clear" w:color="auto" w:fill="B4C6E7"/>
            <w:vAlign w:val="center"/>
          </w:tcPr>
          <w:p w14:paraId="435A0FA6" w14:textId="77777777" w:rsidR="002C0042" w:rsidRPr="002C0042" w:rsidRDefault="002C0042" w:rsidP="00E540AD">
            <w:pPr>
              <w:spacing w:afterLines="50" w:after="120"/>
              <w:jc w:val="center"/>
              <w:rPr>
                <w:b/>
                <w:sz w:val="20"/>
                <w:lang w:eastAsia="zh-CN"/>
              </w:rPr>
            </w:pPr>
            <w:r w:rsidRPr="002C0042">
              <w:rPr>
                <w:b/>
                <w:sz w:val="20"/>
                <w:lang w:eastAsia="zh-CN"/>
              </w:rPr>
              <w:t>CG features</w:t>
            </w:r>
          </w:p>
        </w:tc>
        <w:tc>
          <w:tcPr>
            <w:tcW w:w="3928" w:type="dxa"/>
            <w:tcBorders>
              <w:top w:val="single" w:sz="4" w:space="0" w:color="auto"/>
              <w:left w:val="single" w:sz="4" w:space="0" w:color="auto"/>
              <w:bottom w:val="single" w:sz="4" w:space="0" w:color="auto"/>
              <w:right w:val="single" w:sz="4" w:space="0" w:color="auto"/>
            </w:tcBorders>
            <w:shd w:val="clear" w:color="auto" w:fill="B4C6E7"/>
            <w:vAlign w:val="center"/>
          </w:tcPr>
          <w:p w14:paraId="7117287F" w14:textId="77777777" w:rsidR="002C0042" w:rsidRPr="002C0042" w:rsidRDefault="002C0042" w:rsidP="00E540AD">
            <w:pPr>
              <w:spacing w:afterLines="50" w:after="120"/>
              <w:jc w:val="center"/>
              <w:rPr>
                <w:b/>
                <w:sz w:val="20"/>
                <w:lang w:eastAsia="zh-CN"/>
              </w:rPr>
            </w:pPr>
            <w:r w:rsidRPr="002C0042">
              <w:rPr>
                <w:b/>
                <w:sz w:val="20"/>
                <w:lang w:eastAsia="zh-CN"/>
              </w:rPr>
              <w:t>Rel.16 URLLC</w:t>
            </w:r>
          </w:p>
        </w:tc>
        <w:tc>
          <w:tcPr>
            <w:tcW w:w="3928" w:type="dxa"/>
            <w:tcBorders>
              <w:top w:val="single" w:sz="4" w:space="0" w:color="auto"/>
              <w:left w:val="single" w:sz="4" w:space="0" w:color="auto"/>
              <w:bottom w:val="single" w:sz="4" w:space="0" w:color="auto"/>
              <w:right w:val="single" w:sz="4" w:space="0" w:color="auto"/>
            </w:tcBorders>
            <w:shd w:val="clear" w:color="auto" w:fill="B4C6E7"/>
            <w:vAlign w:val="center"/>
          </w:tcPr>
          <w:p w14:paraId="20797E22" w14:textId="77777777" w:rsidR="002C0042" w:rsidRPr="002C0042" w:rsidRDefault="002C0042" w:rsidP="00E540AD">
            <w:pPr>
              <w:spacing w:afterLines="50" w:after="120"/>
              <w:jc w:val="center"/>
              <w:rPr>
                <w:b/>
                <w:sz w:val="20"/>
                <w:lang w:eastAsia="zh-CN"/>
              </w:rPr>
            </w:pPr>
            <w:r w:rsidRPr="002C0042">
              <w:rPr>
                <w:b/>
                <w:sz w:val="20"/>
                <w:lang w:eastAsia="zh-CN"/>
              </w:rPr>
              <w:t>Rel.16 NR-U</w:t>
            </w:r>
          </w:p>
        </w:tc>
      </w:tr>
      <w:tr w:rsidR="002C0042" w:rsidRPr="002C0042" w14:paraId="0983CB11"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4BE998C0" w14:textId="77777777" w:rsidR="002C0042" w:rsidRPr="002C0042" w:rsidRDefault="002C0042" w:rsidP="00E540AD">
            <w:pPr>
              <w:spacing w:afterLines="50" w:after="120"/>
              <w:rPr>
                <w:sz w:val="20"/>
                <w:lang w:eastAsia="zh-CN"/>
              </w:rPr>
            </w:pPr>
            <w:r w:rsidRPr="002C0042">
              <w:rPr>
                <w:sz w:val="20"/>
                <w:lang w:eastAsia="zh-CN"/>
              </w:rPr>
              <w:t>Multiple CG configurations</w:t>
            </w:r>
          </w:p>
        </w:tc>
        <w:tc>
          <w:tcPr>
            <w:tcW w:w="3928" w:type="dxa"/>
            <w:tcBorders>
              <w:top w:val="single" w:sz="4" w:space="0" w:color="auto"/>
              <w:left w:val="single" w:sz="4" w:space="0" w:color="auto"/>
              <w:bottom w:val="single" w:sz="4" w:space="0" w:color="auto"/>
              <w:right w:val="single" w:sz="4" w:space="0" w:color="auto"/>
            </w:tcBorders>
            <w:vAlign w:val="center"/>
          </w:tcPr>
          <w:p w14:paraId="5B95E42D" w14:textId="77777777" w:rsidR="002C0042" w:rsidRPr="002C0042" w:rsidRDefault="002C0042" w:rsidP="00E540AD">
            <w:pPr>
              <w:spacing w:afterLines="50" w:after="120"/>
              <w:rPr>
                <w:sz w:val="20"/>
                <w:lang w:eastAsia="zh-CN"/>
              </w:rPr>
            </w:pPr>
            <w:r w:rsidRPr="002C0042">
              <w:rPr>
                <w:sz w:val="20"/>
                <w:lang w:eastAsia="zh-CN"/>
              </w:rPr>
              <w:t xml:space="preserve">Supported </w:t>
            </w:r>
          </w:p>
        </w:tc>
        <w:tc>
          <w:tcPr>
            <w:tcW w:w="3928" w:type="dxa"/>
            <w:tcBorders>
              <w:top w:val="single" w:sz="4" w:space="0" w:color="auto"/>
              <w:left w:val="single" w:sz="4" w:space="0" w:color="auto"/>
              <w:bottom w:val="single" w:sz="4" w:space="0" w:color="auto"/>
              <w:right w:val="single" w:sz="4" w:space="0" w:color="auto"/>
            </w:tcBorders>
            <w:vAlign w:val="center"/>
          </w:tcPr>
          <w:p w14:paraId="205F77CE" w14:textId="77777777" w:rsidR="002C0042" w:rsidRPr="002C0042" w:rsidRDefault="002C0042" w:rsidP="00E540AD">
            <w:pPr>
              <w:spacing w:afterLines="50" w:after="120"/>
              <w:rPr>
                <w:sz w:val="20"/>
                <w:lang w:eastAsia="zh-CN"/>
              </w:rPr>
            </w:pPr>
            <w:r w:rsidRPr="002C0042">
              <w:rPr>
                <w:sz w:val="20"/>
                <w:lang w:eastAsia="zh-CN"/>
              </w:rPr>
              <w:t xml:space="preserve">Supported </w:t>
            </w:r>
          </w:p>
        </w:tc>
      </w:tr>
      <w:tr w:rsidR="002C0042" w:rsidRPr="002C0042" w14:paraId="77B0E016"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20120B9E" w14:textId="77777777" w:rsidR="002C0042" w:rsidRPr="002C0042" w:rsidRDefault="002C0042" w:rsidP="00E540AD">
            <w:pPr>
              <w:spacing w:afterLines="50" w:after="120"/>
              <w:rPr>
                <w:sz w:val="20"/>
                <w:lang w:eastAsia="zh-CN"/>
              </w:rPr>
            </w:pPr>
            <w:r w:rsidRPr="002C0042">
              <w:rPr>
                <w:sz w:val="20"/>
                <w:lang w:eastAsia="zh-CN"/>
              </w:rPr>
              <w:t>HARQ process number/ ID determination</w:t>
            </w:r>
          </w:p>
        </w:tc>
        <w:tc>
          <w:tcPr>
            <w:tcW w:w="3928" w:type="dxa"/>
            <w:tcBorders>
              <w:top w:val="single" w:sz="4" w:space="0" w:color="auto"/>
              <w:left w:val="single" w:sz="4" w:space="0" w:color="auto"/>
              <w:bottom w:val="single" w:sz="4" w:space="0" w:color="auto"/>
              <w:right w:val="single" w:sz="4" w:space="0" w:color="auto"/>
            </w:tcBorders>
            <w:vAlign w:val="center"/>
          </w:tcPr>
          <w:p w14:paraId="6F5467F7" w14:textId="77777777" w:rsidR="002C0042" w:rsidRPr="002C0042" w:rsidRDefault="002C0042" w:rsidP="00E540AD">
            <w:pPr>
              <w:spacing w:afterLines="50" w:after="120"/>
              <w:rPr>
                <w:sz w:val="20"/>
                <w:lang w:eastAsia="zh-CN"/>
              </w:rPr>
            </w:pPr>
            <w:r w:rsidRPr="002C0042">
              <w:rPr>
                <w:sz w:val="20"/>
                <w:lang w:eastAsia="zh-CN"/>
              </w:rPr>
              <w:t>Associated with the configured/indicated first TO, calculated based on the equation defined in TS 38.321</w:t>
            </w:r>
          </w:p>
        </w:tc>
        <w:tc>
          <w:tcPr>
            <w:tcW w:w="3928" w:type="dxa"/>
            <w:tcBorders>
              <w:top w:val="single" w:sz="4" w:space="0" w:color="auto"/>
              <w:left w:val="single" w:sz="4" w:space="0" w:color="auto"/>
              <w:bottom w:val="single" w:sz="4" w:space="0" w:color="auto"/>
              <w:right w:val="single" w:sz="4" w:space="0" w:color="auto"/>
            </w:tcBorders>
            <w:vAlign w:val="center"/>
          </w:tcPr>
          <w:p w14:paraId="14255815" w14:textId="77777777" w:rsidR="002C0042" w:rsidRPr="002C0042" w:rsidRDefault="002C0042" w:rsidP="00E540AD">
            <w:pPr>
              <w:spacing w:afterLines="50" w:after="120"/>
              <w:rPr>
                <w:sz w:val="20"/>
                <w:lang w:eastAsia="zh-CN"/>
              </w:rPr>
            </w:pPr>
            <w:r w:rsidRPr="002C0042">
              <w:rPr>
                <w:sz w:val="20"/>
                <w:lang w:eastAsia="zh-CN"/>
              </w:rPr>
              <w:t xml:space="preserve">Decide and reported by the UE in </w:t>
            </w:r>
            <w:r w:rsidRPr="00BA46E4">
              <w:rPr>
                <w:sz w:val="20"/>
                <w:highlight w:val="yellow"/>
                <w:lang w:eastAsia="zh-CN"/>
              </w:rPr>
              <w:t>CG-UCI</w:t>
            </w:r>
          </w:p>
        </w:tc>
      </w:tr>
      <w:tr w:rsidR="002C0042" w:rsidRPr="002C0042" w14:paraId="3EE5F852"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5791B09D" w14:textId="77777777" w:rsidR="002C0042" w:rsidRPr="002C0042" w:rsidRDefault="002C0042" w:rsidP="00E540AD">
            <w:pPr>
              <w:spacing w:afterLines="50" w:after="120"/>
              <w:rPr>
                <w:sz w:val="20"/>
                <w:lang w:eastAsia="zh-CN"/>
              </w:rPr>
            </w:pPr>
            <w:r w:rsidRPr="002C0042">
              <w:rPr>
                <w:sz w:val="20"/>
                <w:lang w:eastAsia="zh-CN"/>
              </w:rPr>
              <w:t>Management of HARQ process number/ ID among multiple CG configurations</w:t>
            </w:r>
          </w:p>
        </w:tc>
        <w:tc>
          <w:tcPr>
            <w:tcW w:w="3928" w:type="dxa"/>
            <w:tcBorders>
              <w:top w:val="single" w:sz="4" w:space="0" w:color="auto"/>
              <w:left w:val="single" w:sz="4" w:space="0" w:color="auto"/>
              <w:bottom w:val="single" w:sz="4" w:space="0" w:color="auto"/>
              <w:right w:val="single" w:sz="4" w:space="0" w:color="auto"/>
            </w:tcBorders>
            <w:vAlign w:val="center"/>
          </w:tcPr>
          <w:p w14:paraId="0B31645C" w14:textId="77777777" w:rsidR="002C0042" w:rsidRPr="002C0042" w:rsidRDefault="002C0042" w:rsidP="00E540AD">
            <w:pPr>
              <w:spacing w:afterLines="50" w:after="120"/>
              <w:rPr>
                <w:sz w:val="20"/>
                <w:lang w:eastAsia="zh-CN"/>
              </w:rPr>
            </w:pPr>
            <w:r w:rsidRPr="002C0042">
              <w:rPr>
                <w:rFonts w:eastAsia="Malgun Gothic"/>
                <w:sz w:val="20"/>
                <w:lang w:eastAsia="ko-KR"/>
              </w:rPr>
              <w:t>Not shared between different CG configurations in the same BWP</w:t>
            </w:r>
          </w:p>
        </w:tc>
        <w:tc>
          <w:tcPr>
            <w:tcW w:w="3928" w:type="dxa"/>
            <w:tcBorders>
              <w:top w:val="single" w:sz="4" w:space="0" w:color="auto"/>
              <w:left w:val="single" w:sz="4" w:space="0" w:color="auto"/>
              <w:bottom w:val="single" w:sz="4" w:space="0" w:color="auto"/>
              <w:right w:val="single" w:sz="4" w:space="0" w:color="auto"/>
            </w:tcBorders>
            <w:vAlign w:val="center"/>
          </w:tcPr>
          <w:p w14:paraId="00E3D16D" w14:textId="77777777" w:rsidR="002C0042" w:rsidRPr="002C0042" w:rsidRDefault="002C0042" w:rsidP="00E540AD">
            <w:pPr>
              <w:spacing w:afterLines="50" w:after="120"/>
              <w:rPr>
                <w:sz w:val="20"/>
              </w:rPr>
            </w:pPr>
            <w:r w:rsidRPr="002C0042">
              <w:rPr>
                <w:sz w:val="20"/>
                <w:lang w:eastAsia="zh-CN"/>
              </w:rPr>
              <w:t xml:space="preserve">Can be shared </w:t>
            </w:r>
            <w:r w:rsidRPr="002C0042">
              <w:rPr>
                <w:rFonts w:eastAsia="Malgun Gothic"/>
                <w:sz w:val="20"/>
                <w:lang w:eastAsia="ko-KR"/>
              </w:rPr>
              <w:t>between different CG configurations in the same BWP</w:t>
            </w:r>
          </w:p>
        </w:tc>
      </w:tr>
      <w:tr w:rsidR="002C0042" w:rsidRPr="002C0042" w14:paraId="01787ED1"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177444B3" w14:textId="77777777" w:rsidR="002C0042" w:rsidRPr="002C0042" w:rsidRDefault="002C0042" w:rsidP="00E540AD">
            <w:pPr>
              <w:spacing w:afterLines="50" w:after="120"/>
              <w:rPr>
                <w:sz w:val="20"/>
                <w:lang w:eastAsia="zh-CN"/>
              </w:rPr>
            </w:pPr>
            <w:r w:rsidRPr="002C0042">
              <w:rPr>
                <w:sz w:val="20"/>
                <w:lang w:eastAsia="zh-CN"/>
              </w:rPr>
              <w:t xml:space="preserve">RV determination </w:t>
            </w:r>
          </w:p>
        </w:tc>
        <w:tc>
          <w:tcPr>
            <w:tcW w:w="3928" w:type="dxa"/>
            <w:tcBorders>
              <w:top w:val="single" w:sz="4" w:space="0" w:color="auto"/>
              <w:left w:val="single" w:sz="4" w:space="0" w:color="auto"/>
              <w:bottom w:val="single" w:sz="4" w:space="0" w:color="auto"/>
              <w:right w:val="single" w:sz="4" w:space="0" w:color="auto"/>
            </w:tcBorders>
            <w:vAlign w:val="center"/>
          </w:tcPr>
          <w:p w14:paraId="627C3CF9" w14:textId="77777777" w:rsidR="002C0042" w:rsidRPr="002C0042" w:rsidRDefault="002C0042" w:rsidP="00E540AD">
            <w:pPr>
              <w:spacing w:afterLines="50" w:after="120"/>
              <w:rPr>
                <w:sz w:val="20"/>
                <w:lang w:eastAsia="zh-CN"/>
              </w:rPr>
            </w:pPr>
            <w:r w:rsidRPr="002C0042">
              <w:rPr>
                <w:sz w:val="20"/>
                <w:lang w:eastAsia="zh-CN"/>
              </w:rPr>
              <w:t>One of the three RV sequence can be configured and associated with TO</w:t>
            </w:r>
          </w:p>
          <w:p w14:paraId="533C1444" w14:textId="77777777" w:rsidR="002C0042" w:rsidRPr="002C0042" w:rsidRDefault="002C0042" w:rsidP="00E540AD">
            <w:pPr>
              <w:spacing w:afterLines="50" w:after="120"/>
              <w:rPr>
                <w:sz w:val="20"/>
                <w:lang w:eastAsia="zh-CN"/>
              </w:rPr>
            </w:pPr>
            <w:r w:rsidRPr="002C0042">
              <w:rPr>
                <w:sz w:val="20"/>
                <w:lang w:eastAsia="zh-CN"/>
              </w:rPr>
              <w:t>{0,0,0,0}; {0,3,0,3}; {0,2,3,1}</w:t>
            </w:r>
          </w:p>
        </w:tc>
        <w:tc>
          <w:tcPr>
            <w:tcW w:w="3928" w:type="dxa"/>
            <w:tcBorders>
              <w:top w:val="single" w:sz="4" w:space="0" w:color="auto"/>
              <w:left w:val="single" w:sz="4" w:space="0" w:color="auto"/>
              <w:bottom w:val="single" w:sz="4" w:space="0" w:color="auto"/>
              <w:right w:val="single" w:sz="4" w:space="0" w:color="auto"/>
            </w:tcBorders>
            <w:vAlign w:val="center"/>
          </w:tcPr>
          <w:p w14:paraId="42E25F8D" w14:textId="176DC7B9" w:rsidR="002C0042" w:rsidRPr="002C0042" w:rsidRDefault="002C0042" w:rsidP="00E540AD">
            <w:pPr>
              <w:spacing w:afterLines="50" w:after="120"/>
              <w:rPr>
                <w:sz w:val="20"/>
              </w:rPr>
            </w:pPr>
            <w:r w:rsidRPr="002C0042">
              <w:rPr>
                <w:sz w:val="20"/>
                <w:lang w:eastAsia="zh-CN"/>
              </w:rPr>
              <w:t>Decide</w:t>
            </w:r>
            <w:r w:rsidR="009C7F7C">
              <w:rPr>
                <w:sz w:val="20"/>
                <w:lang w:eastAsia="zh-CN"/>
              </w:rPr>
              <w:t>d</w:t>
            </w:r>
            <w:r w:rsidRPr="002C0042">
              <w:rPr>
                <w:sz w:val="20"/>
                <w:lang w:eastAsia="zh-CN"/>
              </w:rPr>
              <w:t xml:space="preserve"> and reported by the UE in </w:t>
            </w:r>
            <w:r w:rsidRPr="00BA46E4">
              <w:rPr>
                <w:sz w:val="20"/>
                <w:highlight w:val="yellow"/>
                <w:lang w:eastAsia="zh-CN"/>
              </w:rPr>
              <w:t>CG-UCI</w:t>
            </w:r>
          </w:p>
        </w:tc>
      </w:tr>
      <w:tr w:rsidR="002C0042" w:rsidRPr="002C0042" w14:paraId="5C6D2197"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06A5BC32" w14:textId="77777777" w:rsidR="002C0042" w:rsidRPr="002C0042" w:rsidRDefault="002C0042" w:rsidP="00E540AD">
            <w:pPr>
              <w:spacing w:afterLines="50" w:after="120"/>
              <w:rPr>
                <w:sz w:val="20"/>
                <w:lang w:eastAsia="zh-CN"/>
              </w:rPr>
            </w:pPr>
            <w:r w:rsidRPr="002C0042">
              <w:rPr>
                <w:sz w:val="20"/>
                <w:lang w:eastAsia="zh-CN"/>
              </w:rPr>
              <w:lastRenderedPageBreak/>
              <w:t xml:space="preserve">Flexible initial transmission occasion (TO) </w:t>
            </w:r>
          </w:p>
        </w:tc>
        <w:tc>
          <w:tcPr>
            <w:tcW w:w="3928" w:type="dxa"/>
            <w:tcBorders>
              <w:top w:val="single" w:sz="4" w:space="0" w:color="auto"/>
              <w:left w:val="single" w:sz="4" w:space="0" w:color="auto"/>
              <w:bottom w:val="single" w:sz="4" w:space="0" w:color="auto"/>
              <w:right w:val="single" w:sz="4" w:space="0" w:color="auto"/>
            </w:tcBorders>
            <w:vAlign w:val="center"/>
          </w:tcPr>
          <w:p w14:paraId="1F317A59" w14:textId="77777777" w:rsidR="002C0042" w:rsidRPr="002C0042" w:rsidRDefault="002C0042" w:rsidP="00E540AD">
            <w:pPr>
              <w:spacing w:afterLines="50" w:after="120"/>
              <w:rPr>
                <w:sz w:val="20"/>
              </w:rPr>
            </w:pPr>
            <w:r w:rsidRPr="002C0042">
              <w:rPr>
                <w:sz w:val="20"/>
              </w:rPr>
              <w:t xml:space="preserve">If the CG is configured with </w:t>
            </w:r>
            <w:r w:rsidRPr="002C0042">
              <w:rPr>
                <w:i/>
                <w:sz w:val="20"/>
              </w:rPr>
              <w:t>Configuredgrantconfig-StartingfromRV0</w:t>
            </w:r>
            <w:r w:rsidRPr="002C0042">
              <w:rPr>
                <w:sz w:val="20"/>
              </w:rPr>
              <w:t xml:space="preserve"> set to ‘off’, the initial transmission only starts at the first TO of the K repetitions; otherwise, the initial transmission TO depends on the configured RV sequence and K repetitions. </w:t>
            </w:r>
          </w:p>
        </w:tc>
        <w:tc>
          <w:tcPr>
            <w:tcW w:w="3928" w:type="dxa"/>
            <w:tcBorders>
              <w:top w:val="single" w:sz="4" w:space="0" w:color="auto"/>
              <w:left w:val="single" w:sz="4" w:space="0" w:color="auto"/>
              <w:bottom w:val="single" w:sz="4" w:space="0" w:color="auto"/>
              <w:right w:val="single" w:sz="4" w:space="0" w:color="auto"/>
            </w:tcBorders>
            <w:vAlign w:val="center"/>
          </w:tcPr>
          <w:p w14:paraId="482F5F70" w14:textId="56BB2A9C" w:rsidR="002C0042" w:rsidRPr="002C0042" w:rsidRDefault="002C0042" w:rsidP="00E540AD">
            <w:pPr>
              <w:spacing w:afterLines="50" w:after="120"/>
              <w:rPr>
                <w:sz w:val="20"/>
              </w:rPr>
            </w:pPr>
            <w:r w:rsidRPr="002C0042">
              <w:rPr>
                <w:sz w:val="20"/>
              </w:rPr>
              <w:t xml:space="preserve">Multiple consecutive potential </w:t>
            </w:r>
            <w:r w:rsidR="009C7F7C" w:rsidRPr="002C0042">
              <w:rPr>
                <w:sz w:val="20"/>
              </w:rPr>
              <w:t>T</w:t>
            </w:r>
            <w:r w:rsidR="009C7F7C">
              <w:rPr>
                <w:sz w:val="20"/>
              </w:rPr>
              <w:t>O</w:t>
            </w:r>
            <w:r w:rsidR="009C7F7C" w:rsidRPr="002C0042">
              <w:rPr>
                <w:sz w:val="20"/>
              </w:rPr>
              <w:t xml:space="preserve">s </w:t>
            </w:r>
            <w:r w:rsidRPr="002C0042">
              <w:rPr>
                <w:sz w:val="20"/>
              </w:rPr>
              <w:t xml:space="preserve">are configured by </w:t>
            </w:r>
            <w:r w:rsidRPr="002C0042">
              <w:rPr>
                <w:i/>
                <w:sz w:val="20"/>
              </w:rPr>
              <w:t>cg-nrofPUSCH-InSlot-r16</w:t>
            </w:r>
            <w:r w:rsidRPr="002C0042">
              <w:rPr>
                <w:sz w:val="20"/>
              </w:rPr>
              <w:t xml:space="preserve"> and </w:t>
            </w:r>
            <w:r w:rsidRPr="002C0042">
              <w:rPr>
                <w:i/>
                <w:sz w:val="20"/>
              </w:rPr>
              <w:t>cg-nrofSlots-r16</w:t>
            </w:r>
            <w:r w:rsidRPr="002C0042">
              <w:rPr>
                <w:sz w:val="20"/>
              </w:rPr>
              <w:t xml:space="preserve">, can start initial transmission at any </w:t>
            </w:r>
            <w:r w:rsidR="000F0AB5" w:rsidRPr="002C0042">
              <w:rPr>
                <w:sz w:val="20"/>
              </w:rPr>
              <w:t>T</w:t>
            </w:r>
            <w:r w:rsidR="000F0AB5">
              <w:rPr>
                <w:sz w:val="20"/>
              </w:rPr>
              <w:t>O</w:t>
            </w:r>
            <w:r w:rsidR="000F0AB5" w:rsidRPr="002C0042">
              <w:rPr>
                <w:sz w:val="20"/>
              </w:rPr>
              <w:t xml:space="preserve">s </w:t>
            </w:r>
            <w:r w:rsidRPr="002C0042">
              <w:rPr>
                <w:sz w:val="20"/>
              </w:rPr>
              <w:t>depending on the LBT results.</w:t>
            </w:r>
          </w:p>
        </w:tc>
      </w:tr>
      <w:tr w:rsidR="002C0042" w:rsidRPr="002C0042" w14:paraId="01934026"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61AE948A" w14:textId="77777777" w:rsidR="002C0042" w:rsidRPr="002C0042" w:rsidRDefault="002C0042" w:rsidP="00E540AD">
            <w:pPr>
              <w:spacing w:afterLines="50" w:after="120"/>
              <w:rPr>
                <w:sz w:val="20"/>
                <w:lang w:val="en-US" w:eastAsia="zh-CN"/>
              </w:rPr>
            </w:pPr>
            <w:r w:rsidRPr="002C0042">
              <w:rPr>
                <w:sz w:val="20"/>
                <w:lang w:eastAsia="zh-CN"/>
              </w:rPr>
              <w:t>Repetition scheme(s)</w:t>
            </w:r>
          </w:p>
        </w:tc>
        <w:tc>
          <w:tcPr>
            <w:tcW w:w="3928" w:type="dxa"/>
            <w:tcBorders>
              <w:top w:val="single" w:sz="4" w:space="0" w:color="auto"/>
              <w:left w:val="single" w:sz="4" w:space="0" w:color="auto"/>
              <w:bottom w:val="single" w:sz="4" w:space="0" w:color="auto"/>
              <w:right w:val="single" w:sz="4" w:space="0" w:color="auto"/>
            </w:tcBorders>
            <w:vAlign w:val="center"/>
          </w:tcPr>
          <w:p w14:paraId="0185678D" w14:textId="77777777" w:rsidR="002C0042" w:rsidRPr="002C0042" w:rsidRDefault="002C0042" w:rsidP="00E540AD">
            <w:pPr>
              <w:spacing w:afterLines="50" w:after="120"/>
              <w:rPr>
                <w:sz w:val="20"/>
                <w:lang w:eastAsia="zh-CN"/>
              </w:rPr>
            </w:pPr>
            <w:r w:rsidRPr="002C0042">
              <w:rPr>
                <w:sz w:val="20"/>
                <w:lang w:eastAsia="zh-CN"/>
              </w:rPr>
              <w:t>PUSCH repetition Type A and PUSCH repetition Type B</w:t>
            </w:r>
          </w:p>
        </w:tc>
        <w:tc>
          <w:tcPr>
            <w:tcW w:w="3928" w:type="dxa"/>
            <w:tcBorders>
              <w:top w:val="single" w:sz="4" w:space="0" w:color="auto"/>
              <w:left w:val="single" w:sz="4" w:space="0" w:color="auto"/>
              <w:bottom w:val="single" w:sz="4" w:space="0" w:color="auto"/>
              <w:right w:val="single" w:sz="4" w:space="0" w:color="auto"/>
            </w:tcBorders>
            <w:vAlign w:val="center"/>
          </w:tcPr>
          <w:p w14:paraId="75E23189" w14:textId="77777777" w:rsidR="002C0042" w:rsidRPr="002C0042" w:rsidRDefault="002C0042" w:rsidP="00E540AD">
            <w:pPr>
              <w:spacing w:afterLines="50" w:after="120"/>
              <w:rPr>
                <w:sz w:val="20"/>
                <w:lang w:eastAsia="zh-CN"/>
              </w:rPr>
            </w:pPr>
            <w:r w:rsidRPr="002C0042">
              <w:rPr>
                <w:sz w:val="20"/>
                <w:lang w:eastAsia="zh-CN"/>
              </w:rPr>
              <w:t>Similar as PUSCH repetition Type B without supporting segmentation. (no support of cross-slot resource allocation, and if collide with invalid symbol(s), drop the repetition)</w:t>
            </w:r>
          </w:p>
        </w:tc>
      </w:tr>
      <w:tr w:rsidR="002C0042" w:rsidRPr="002C0042" w14:paraId="72B0C804"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091095B3" w14:textId="77777777" w:rsidR="002C0042" w:rsidRPr="002C0042" w:rsidRDefault="002C0042" w:rsidP="00E540AD">
            <w:pPr>
              <w:spacing w:afterLines="50" w:after="120"/>
              <w:rPr>
                <w:sz w:val="20"/>
                <w:lang w:eastAsia="zh-CN"/>
              </w:rPr>
            </w:pPr>
            <w:r w:rsidRPr="00B03527">
              <w:rPr>
                <w:sz w:val="20"/>
                <w:highlight w:val="yellow"/>
                <w:lang w:eastAsia="zh-CN"/>
              </w:rPr>
              <w:t>CG-Downlink feedback information (DFI)</w:t>
            </w:r>
          </w:p>
        </w:tc>
        <w:tc>
          <w:tcPr>
            <w:tcW w:w="3928" w:type="dxa"/>
            <w:tcBorders>
              <w:top w:val="single" w:sz="4" w:space="0" w:color="auto"/>
              <w:left w:val="single" w:sz="4" w:space="0" w:color="auto"/>
              <w:bottom w:val="single" w:sz="4" w:space="0" w:color="auto"/>
              <w:right w:val="single" w:sz="4" w:space="0" w:color="auto"/>
            </w:tcBorders>
            <w:vAlign w:val="center"/>
          </w:tcPr>
          <w:p w14:paraId="5C4BA7BA" w14:textId="77777777" w:rsidR="002C0042" w:rsidRPr="002C0042" w:rsidRDefault="002C0042" w:rsidP="00E540AD">
            <w:pPr>
              <w:spacing w:afterLines="50" w:after="120"/>
              <w:rPr>
                <w:sz w:val="20"/>
                <w:lang w:eastAsia="zh-CN"/>
              </w:rPr>
            </w:pPr>
            <w:r w:rsidRPr="002C0042">
              <w:rPr>
                <w:sz w:val="20"/>
                <w:lang w:eastAsia="zh-CN"/>
              </w:rPr>
              <w:t>No support. If Re-scheduling UL grant is not received, UE assumes ACK.</w:t>
            </w:r>
          </w:p>
        </w:tc>
        <w:tc>
          <w:tcPr>
            <w:tcW w:w="3928" w:type="dxa"/>
            <w:tcBorders>
              <w:top w:val="single" w:sz="4" w:space="0" w:color="auto"/>
              <w:left w:val="single" w:sz="4" w:space="0" w:color="auto"/>
              <w:bottom w:val="single" w:sz="4" w:space="0" w:color="auto"/>
              <w:right w:val="single" w:sz="4" w:space="0" w:color="auto"/>
            </w:tcBorders>
            <w:vAlign w:val="center"/>
          </w:tcPr>
          <w:p w14:paraId="5D6E7CA6" w14:textId="77777777" w:rsidR="002C0042" w:rsidRPr="002C0042" w:rsidRDefault="002C0042" w:rsidP="00E540AD">
            <w:pPr>
              <w:spacing w:afterLines="50" w:after="120"/>
              <w:rPr>
                <w:sz w:val="20"/>
              </w:rPr>
            </w:pPr>
            <w:r w:rsidRPr="002C0042">
              <w:rPr>
                <w:sz w:val="20"/>
              </w:rPr>
              <w:t xml:space="preserve">Support, If </w:t>
            </w:r>
            <w:r w:rsidRPr="00BA46E4">
              <w:rPr>
                <w:sz w:val="20"/>
                <w:highlight w:val="yellow"/>
              </w:rPr>
              <w:t>CG-DFI</w:t>
            </w:r>
            <w:r w:rsidRPr="002C0042">
              <w:rPr>
                <w:sz w:val="20"/>
              </w:rPr>
              <w:t xml:space="preserve"> is not received, UE assumes NACK. </w:t>
            </w:r>
          </w:p>
        </w:tc>
      </w:tr>
      <w:tr w:rsidR="002C0042" w:rsidRPr="002C0042" w14:paraId="457A7F06"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02F627E2" w14:textId="77777777" w:rsidR="002C0042" w:rsidRPr="002C0042" w:rsidRDefault="002C0042" w:rsidP="00E540AD">
            <w:pPr>
              <w:spacing w:afterLines="50" w:after="120"/>
              <w:rPr>
                <w:sz w:val="20"/>
                <w:lang w:eastAsia="zh-CN"/>
              </w:rPr>
            </w:pPr>
            <w:r w:rsidRPr="002C0042">
              <w:rPr>
                <w:sz w:val="20"/>
                <w:lang w:eastAsia="zh-CN"/>
              </w:rPr>
              <w:t>CG Re-transmission timer</w:t>
            </w:r>
          </w:p>
        </w:tc>
        <w:tc>
          <w:tcPr>
            <w:tcW w:w="3928" w:type="dxa"/>
            <w:tcBorders>
              <w:top w:val="single" w:sz="4" w:space="0" w:color="auto"/>
              <w:left w:val="single" w:sz="4" w:space="0" w:color="auto"/>
              <w:bottom w:val="single" w:sz="4" w:space="0" w:color="auto"/>
              <w:right w:val="single" w:sz="4" w:space="0" w:color="auto"/>
            </w:tcBorders>
            <w:vAlign w:val="center"/>
          </w:tcPr>
          <w:p w14:paraId="3864C844" w14:textId="77777777" w:rsidR="002C0042" w:rsidRPr="002C0042" w:rsidRDefault="002C0042" w:rsidP="00E540AD">
            <w:pPr>
              <w:spacing w:afterLines="50" w:after="120"/>
              <w:rPr>
                <w:sz w:val="20"/>
                <w:lang w:eastAsia="zh-CN"/>
              </w:rPr>
            </w:pPr>
            <w:r w:rsidRPr="002C0042">
              <w:rPr>
                <w:sz w:val="20"/>
                <w:lang w:eastAsia="zh-CN"/>
              </w:rPr>
              <w:t>No support</w:t>
            </w:r>
          </w:p>
        </w:tc>
        <w:tc>
          <w:tcPr>
            <w:tcW w:w="3928" w:type="dxa"/>
            <w:tcBorders>
              <w:top w:val="single" w:sz="4" w:space="0" w:color="auto"/>
              <w:left w:val="single" w:sz="4" w:space="0" w:color="auto"/>
              <w:bottom w:val="single" w:sz="4" w:space="0" w:color="auto"/>
              <w:right w:val="single" w:sz="4" w:space="0" w:color="auto"/>
            </w:tcBorders>
            <w:vAlign w:val="center"/>
          </w:tcPr>
          <w:p w14:paraId="0D63B745" w14:textId="77777777" w:rsidR="002C0042" w:rsidRPr="002C0042" w:rsidRDefault="002C0042" w:rsidP="00E540AD">
            <w:pPr>
              <w:spacing w:afterLines="50" w:after="120"/>
              <w:rPr>
                <w:sz w:val="20"/>
                <w:lang w:eastAsia="zh-CN"/>
              </w:rPr>
            </w:pPr>
            <w:r w:rsidRPr="002C0042">
              <w:rPr>
                <w:sz w:val="20"/>
                <w:lang w:eastAsia="zh-CN"/>
              </w:rPr>
              <w:t>Support and always configured</w:t>
            </w:r>
          </w:p>
        </w:tc>
      </w:tr>
      <w:tr w:rsidR="002C0042" w:rsidRPr="002C0042" w14:paraId="634D1113"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0767E26C" w14:textId="77777777" w:rsidR="002C0042" w:rsidRPr="002C0042" w:rsidRDefault="002C0042" w:rsidP="00E540AD">
            <w:pPr>
              <w:spacing w:afterLines="50" w:after="120"/>
              <w:rPr>
                <w:sz w:val="20"/>
                <w:lang w:eastAsia="zh-CN"/>
              </w:rPr>
            </w:pPr>
            <w:r w:rsidRPr="002C0042">
              <w:rPr>
                <w:sz w:val="20"/>
                <w:lang w:eastAsia="zh-CN"/>
              </w:rPr>
              <w:t>CG Re-transmission scheme</w:t>
            </w:r>
          </w:p>
        </w:tc>
        <w:tc>
          <w:tcPr>
            <w:tcW w:w="3928" w:type="dxa"/>
            <w:tcBorders>
              <w:top w:val="single" w:sz="4" w:space="0" w:color="auto"/>
              <w:left w:val="single" w:sz="4" w:space="0" w:color="auto"/>
              <w:bottom w:val="single" w:sz="4" w:space="0" w:color="auto"/>
              <w:right w:val="single" w:sz="4" w:space="0" w:color="auto"/>
            </w:tcBorders>
            <w:vAlign w:val="center"/>
          </w:tcPr>
          <w:p w14:paraId="37660986" w14:textId="77777777" w:rsidR="002C0042" w:rsidRPr="002C0042" w:rsidRDefault="002C0042" w:rsidP="00E540AD">
            <w:pPr>
              <w:spacing w:afterLines="50" w:after="120"/>
              <w:rPr>
                <w:sz w:val="20"/>
                <w:lang w:eastAsia="zh-CN"/>
              </w:rPr>
            </w:pPr>
            <w:r w:rsidRPr="002C0042">
              <w:rPr>
                <w:sz w:val="20"/>
                <w:lang w:eastAsia="zh-CN"/>
              </w:rPr>
              <w:t>Only support Re-transmission scheduled by UL grant</w:t>
            </w:r>
          </w:p>
        </w:tc>
        <w:tc>
          <w:tcPr>
            <w:tcW w:w="3928" w:type="dxa"/>
            <w:tcBorders>
              <w:top w:val="single" w:sz="4" w:space="0" w:color="auto"/>
              <w:left w:val="single" w:sz="4" w:space="0" w:color="auto"/>
              <w:bottom w:val="single" w:sz="4" w:space="0" w:color="auto"/>
              <w:right w:val="single" w:sz="4" w:space="0" w:color="auto"/>
            </w:tcBorders>
            <w:vAlign w:val="center"/>
          </w:tcPr>
          <w:p w14:paraId="60882DAC" w14:textId="77777777" w:rsidR="002C0042" w:rsidRPr="002C0042" w:rsidRDefault="002C0042" w:rsidP="00E540AD">
            <w:pPr>
              <w:spacing w:afterLines="50" w:after="120"/>
              <w:rPr>
                <w:sz w:val="20"/>
                <w:lang w:eastAsia="zh-CN"/>
              </w:rPr>
            </w:pPr>
            <w:r w:rsidRPr="002C0042">
              <w:rPr>
                <w:sz w:val="20"/>
                <w:lang w:eastAsia="zh-CN"/>
              </w:rPr>
              <w:t>Support automatic re-Transmission on the same or different CG configuration decided by UE, and support re-Transmission scheduled by UL grant</w:t>
            </w:r>
          </w:p>
        </w:tc>
      </w:tr>
    </w:tbl>
    <w:p w14:paraId="4891D6D0" w14:textId="77FA2E19" w:rsidR="002C0042" w:rsidRPr="002C0042" w:rsidRDefault="002C0042" w:rsidP="00AE49BB">
      <w:pPr>
        <w:spacing w:afterLines="50" w:after="120"/>
        <w:jc w:val="both"/>
        <w:rPr>
          <w:rFonts w:eastAsia="ＭＳ 明朝"/>
          <w:sz w:val="22"/>
          <w:szCs w:val="22"/>
        </w:rPr>
      </w:pPr>
    </w:p>
    <w:p w14:paraId="18A4009E" w14:textId="77777777" w:rsidR="00124B68" w:rsidRPr="00712F61" w:rsidRDefault="00124B68" w:rsidP="00F26F8D">
      <w:pPr>
        <w:spacing w:afterLines="50" w:after="120"/>
        <w:jc w:val="both"/>
        <w:rPr>
          <w:rFonts w:eastAsia="ＭＳ 明朝"/>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336F9A2D"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3833E7">
        <w:rPr>
          <w:rFonts w:eastAsia="ＭＳ 明朝"/>
          <w:sz w:val="22"/>
          <w:szCs w:val="22"/>
          <w:lang w:val="en-US"/>
        </w:rPr>
        <w:t xml:space="preserve">the </w:t>
      </w:r>
      <w:r w:rsidR="00487684" w:rsidRPr="00C55E26">
        <w:rPr>
          <w:rFonts w:eastAsia="SimSun"/>
          <w:sz w:val="22"/>
          <w:szCs w:val="22"/>
          <w:lang w:val="en-US" w:eastAsia="en-GB"/>
        </w:rPr>
        <w:t>uplink enhancements for URLLC in unlicensed controlled environments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1275A065" w14:textId="77777777" w:rsidR="006315CB" w:rsidRDefault="006315CB" w:rsidP="006315CB">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w:t>
      </w:r>
    </w:p>
    <w:p w14:paraId="4596FAF6" w14:textId="77777777" w:rsidR="006315CB" w:rsidRPr="00DE56AB" w:rsidRDefault="006315CB" w:rsidP="00A82FDE">
      <w:pPr>
        <w:pStyle w:val="afc"/>
        <w:numPr>
          <w:ilvl w:val="0"/>
          <w:numId w:val="20"/>
        </w:numPr>
        <w:spacing w:afterLines="50" w:after="120"/>
        <w:ind w:leftChars="0"/>
        <w:jc w:val="both"/>
        <w:rPr>
          <w:rFonts w:eastAsia="ＭＳ 明朝"/>
          <w:sz w:val="22"/>
          <w:szCs w:val="22"/>
        </w:rPr>
      </w:pPr>
      <w:r w:rsidRPr="00DE56AB">
        <w:rPr>
          <w:rFonts w:eastAsia="ＭＳ 明朝"/>
          <w:b/>
          <w:sz w:val="22"/>
          <w:szCs w:val="22"/>
        </w:rPr>
        <w:t>UE in IDLE/INACTIVE mode does not initiate COT, i.e., PRACH is not used to initiate COT in IDLE/INACTIVE mode.</w:t>
      </w:r>
    </w:p>
    <w:p w14:paraId="383DF8C8" w14:textId="77777777" w:rsidR="006315CB" w:rsidRDefault="006315CB" w:rsidP="006315CB">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2</w:t>
      </w:r>
      <w:r w:rsidRPr="00753F9E">
        <w:rPr>
          <w:rFonts w:eastAsia="ＭＳ 明朝" w:hint="eastAsia"/>
          <w:b/>
          <w:sz w:val="22"/>
          <w:szCs w:val="22"/>
        </w:rPr>
        <w:t>:</w:t>
      </w:r>
    </w:p>
    <w:p w14:paraId="3C7DD4EB" w14:textId="77777777" w:rsidR="006315CB" w:rsidRPr="00DE56AB" w:rsidRDefault="006315CB" w:rsidP="00A82FDE">
      <w:pPr>
        <w:pStyle w:val="afc"/>
        <w:numPr>
          <w:ilvl w:val="0"/>
          <w:numId w:val="20"/>
        </w:numPr>
        <w:spacing w:afterLines="50" w:after="120"/>
        <w:ind w:leftChars="0"/>
        <w:jc w:val="both"/>
        <w:rPr>
          <w:rFonts w:eastAsia="ＭＳ 明朝"/>
          <w:sz w:val="22"/>
          <w:szCs w:val="22"/>
        </w:rPr>
      </w:pPr>
      <w:r w:rsidRPr="00E758BF">
        <w:rPr>
          <w:rFonts w:eastAsia="ＭＳ 明朝"/>
          <w:b/>
          <w:sz w:val="22"/>
          <w:szCs w:val="22"/>
        </w:rPr>
        <w:t>FFP parameters for UE-initiated COT can be provided to the UE by dedicated RRC signalling</w:t>
      </w:r>
      <w:r>
        <w:rPr>
          <w:rFonts w:eastAsia="ＭＳ 明朝"/>
          <w:b/>
          <w:sz w:val="22"/>
          <w:szCs w:val="22"/>
        </w:rPr>
        <w:t xml:space="preserve"> only, i.e., not provided by SIB1</w:t>
      </w:r>
      <w:r w:rsidRPr="00DE56AB">
        <w:rPr>
          <w:rFonts w:eastAsia="ＭＳ 明朝"/>
          <w:b/>
          <w:sz w:val="22"/>
          <w:szCs w:val="22"/>
        </w:rPr>
        <w:t>.</w:t>
      </w:r>
    </w:p>
    <w:p w14:paraId="425E010E" w14:textId="77777777" w:rsidR="006315CB" w:rsidRDefault="006315CB" w:rsidP="006315CB">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3</w:t>
      </w:r>
      <w:r w:rsidRPr="00753F9E">
        <w:rPr>
          <w:rFonts w:eastAsia="ＭＳ 明朝" w:hint="eastAsia"/>
          <w:b/>
          <w:sz w:val="22"/>
          <w:szCs w:val="22"/>
        </w:rPr>
        <w:t>:</w:t>
      </w:r>
    </w:p>
    <w:p w14:paraId="2B5B4D14" w14:textId="77777777" w:rsidR="006315CB" w:rsidRPr="00D373D4" w:rsidRDefault="006315CB" w:rsidP="00A82FDE">
      <w:pPr>
        <w:pStyle w:val="afc"/>
        <w:numPr>
          <w:ilvl w:val="0"/>
          <w:numId w:val="20"/>
        </w:numPr>
        <w:spacing w:afterLines="50" w:after="120"/>
        <w:ind w:leftChars="0"/>
        <w:jc w:val="both"/>
        <w:rPr>
          <w:rFonts w:eastAsia="ＭＳ 明朝"/>
          <w:sz w:val="22"/>
          <w:szCs w:val="22"/>
        </w:rPr>
      </w:pPr>
      <w:r w:rsidRPr="00D373D4">
        <w:rPr>
          <w:rFonts w:eastAsia="ＭＳ 明朝"/>
          <w:b/>
          <w:sz w:val="22"/>
          <w:szCs w:val="22"/>
        </w:rPr>
        <w:t>FFP periodicity for UE-initiated COT can be different from the FFP periodicity for gNB-initiated COT</w:t>
      </w:r>
      <w:r>
        <w:rPr>
          <w:rFonts w:eastAsia="ＭＳ 明朝"/>
          <w:b/>
          <w:sz w:val="22"/>
          <w:szCs w:val="22"/>
        </w:rPr>
        <w:t xml:space="preserve"> and can be different among UEs</w:t>
      </w:r>
    </w:p>
    <w:p w14:paraId="68A8CDAF" w14:textId="77777777" w:rsidR="006315CB" w:rsidRDefault="006315CB" w:rsidP="006315CB">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4</w:t>
      </w:r>
      <w:r w:rsidRPr="00753F9E">
        <w:rPr>
          <w:rFonts w:eastAsia="ＭＳ 明朝" w:hint="eastAsia"/>
          <w:b/>
          <w:sz w:val="22"/>
          <w:szCs w:val="22"/>
        </w:rPr>
        <w:t>:</w:t>
      </w:r>
    </w:p>
    <w:p w14:paraId="2EE78F1D" w14:textId="77777777" w:rsidR="006315CB" w:rsidRPr="00D373D4" w:rsidRDefault="006315CB" w:rsidP="00A82FDE">
      <w:pPr>
        <w:pStyle w:val="afc"/>
        <w:numPr>
          <w:ilvl w:val="0"/>
          <w:numId w:val="20"/>
        </w:numPr>
        <w:spacing w:afterLines="50" w:after="120"/>
        <w:ind w:leftChars="0"/>
        <w:jc w:val="both"/>
        <w:rPr>
          <w:rFonts w:eastAsia="ＭＳ 明朝"/>
          <w:sz w:val="22"/>
          <w:szCs w:val="22"/>
        </w:rPr>
      </w:pPr>
      <w:r w:rsidRPr="00D373D4">
        <w:rPr>
          <w:rFonts w:eastAsia="ＭＳ 明朝"/>
          <w:b/>
          <w:sz w:val="22"/>
          <w:szCs w:val="22"/>
        </w:rPr>
        <w:t xml:space="preserve">FFP periodicity for UE-initiated COT </w:t>
      </w:r>
      <w:r>
        <w:rPr>
          <w:rFonts w:eastAsia="ＭＳ 明朝"/>
          <w:b/>
          <w:sz w:val="22"/>
          <w:szCs w:val="22"/>
        </w:rPr>
        <w:t>is explicitly configured by dedicated RRC signalling to each UE</w:t>
      </w:r>
    </w:p>
    <w:p w14:paraId="1C4E24A2" w14:textId="77777777" w:rsidR="00A03601" w:rsidRDefault="00A03601" w:rsidP="00A03601">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5</w:t>
      </w:r>
      <w:r w:rsidRPr="00753F9E">
        <w:rPr>
          <w:rFonts w:eastAsia="ＭＳ 明朝" w:hint="eastAsia"/>
          <w:b/>
          <w:sz w:val="22"/>
          <w:szCs w:val="22"/>
        </w:rPr>
        <w:t>:</w:t>
      </w:r>
    </w:p>
    <w:p w14:paraId="7CE02D0B" w14:textId="77777777" w:rsidR="00A03601" w:rsidRPr="00D373D4" w:rsidRDefault="00A03601" w:rsidP="00A03601">
      <w:pPr>
        <w:pStyle w:val="afc"/>
        <w:numPr>
          <w:ilvl w:val="0"/>
          <w:numId w:val="20"/>
        </w:numPr>
        <w:spacing w:afterLines="50" w:after="120"/>
        <w:ind w:leftChars="0"/>
        <w:jc w:val="both"/>
        <w:rPr>
          <w:rFonts w:eastAsia="ＭＳ 明朝"/>
          <w:sz w:val="22"/>
          <w:szCs w:val="22"/>
        </w:rPr>
      </w:pPr>
      <w:r>
        <w:rPr>
          <w:rFonts w:eastAsia="ＭＳ 明朝"/>
          <w:b/>
          <w:sz w:val="22"/>
          <w:szCs w:val="22"/>
        </w:rPr>
        <w:t xml:space="preserve">No additional specification is necessary for </w:t>
      </w:r>
      <w:r w:rsidRPr="00265BE9">
        <w:rPr>
          <w:rFonts w:eastAsia="ＭＳ 明朝"/>
          <w:b/>
          <w:sz w:val="22"/>
          <w:szCs w:val="22"/>
        </w:rPr>
        <w:t>the indication to initiate a COT in a next FFP associated to the UE</w:t>
      </w:r>
    </w:p>
    <w:p w14:paraId="5D44328E" w14:textId="77777777" w:rsidR="00A03601" w:rsidRDefault="00A03601" w:rsidP="00A03601">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6</w:t>
      </w:r>
      <w:r w:rsidRPr="00753F9E">
        <w:rPr>
          <w:rFonts w:eastAsia="ＭＳ 明朝" w:hint="eastAsia"/>
          <w:b/>
          <w:sz w:val="22"/>
          <w:szCs w:val="22"/>
        </w:rPr>
        <w:t>:</w:t>
      </w:r>
    </w:p>
    <w:p w14:paraId="1C545A0A" w14:textId="77777777" w:rsidR="00A03601" w:rsidRPr="00D373D4" w:rsidRDefault="00A03601" w:rsidP="00A03601">
      <w:pPr>
        <w:pStyle w:val="afc"/>
        <w:numPr>
          <w:ilvl w:val="0"/>
          <w:numId w:val="20"/>
        </w:numPr>
        <w:spacing w:afterLines="50" w:after="120"/>
        <w:ind w:leftChars="0"/>
        <w:jc w:val="both"/>
        <w:rPr>
          <w:rFonts w:eastAsia="ＭＳ 明朝"/>
          <w:sz w:val="22"/>
          <w:szCs w:val="22"/>
        </w:rPr>
      </w:pPr>
      <w:r>
        <w:rPr>
          <w:rFonts w:eastAsia="ＭＳ 明朝"/>
          <w:b/>
          <w:sz w:val="22"/>
          <w:szCs w:val="22"/>
        </w:rPr>
        <w:t>No explicit indication is necessary for UE to indicate</w:t>
      </w:r>
      <w:r w:rsidRPr="004A0FE3">
        <w:rPr>
          <w:rFonts w:eastAsia="ＭＳ 明朝"/>
          <w:b/>
          <w:sz w:val="22"/>
          <w:szCs w:val="22"/>
        </w:rPr>
        <w:t xml:space="preserve"> to gNB that it has initiated a COT in an FFP</w:t>
      </w:r>
    </w:p>
    <w:p w14:paraId="1DD56B33" w14:textId="77777777" w:rsidR="00A03601" w:rsidRDefault="00A03601" w:rsidP="00A03601">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7</w:t>
      </w:r>
      <w:r w:rsidRPr="00753F9E">
        <w:rPr>
          <w:rFonts w:eastAsia="ＭＳ 明朝" w:hint="eastAsia"/>
          <w:b/>
          <w:sz w:val="22"/>
          <w:szCs w:val="22"/>
        </w:rPr>
        <w:t>:</w:t>
      </w:r>
    </w:p>
    <w:p w14:paraId="1F7E33EF" w14:textId="77777777" w:rsidR="00A03601" w:rsidRPr="00FA4EB0" w:rsidRDefault="00A03601" w:rsidP="00A03601">
      <w:pPr>
        <w:pStyle w:val="afc"/>
        <w:numPr>
          <w:ilvl w:val="0"/>
          <w:numId w:val="20"/>
        </w:numPr>
        <w:spacing w:afterLines="50" w:after="120"/>
        <w:ind w:leftChars="0"/>
        <w:jc w:val="both"/>
        <w:rPr>
          <w:rFonts w:eastAsia="ＭＳ 明朝"/>
          <w:sz w:val="22"/>
          <w:szCs w:val="22"/>
        </w:rPr>
      </w:pPr>
      <w:r>
        <w:rPr>
          <w:rFonts w:eastAsia="ＭＳ 明朝"/>
          <w:b/>
          <w:sz w:val="22"/>
          <w:szCs w:val="22"/>
        </w:rPr>
        <w:t>No more condition is necessary for the following case:</w:t>
      </w:r>
    </w:p>
    <w:p w14:paraId="479B1856" w14:textId="77777777" w:rsidR="00A03601" w:rsidRPr="00FA4EB0" w:rsidRDefault="00A03601" w:rsidP="00A03601">
      <w:pPr>
        <w:pStyle w:val="afc"/>
        <w:numPr>
          <w:ilvl w:val="1"/>
          <w:numId w:val="20"/>
        </w:numPr>
        <w:spacing w:afterLines="50" w:after="120"/>
        <w:ind w:leftChars="0"/>
        <w:jc w:val="both"/>
        <w:rPr>
          <w:rFonts w:eastAsia="ＭＳ 明朝"/>
          <w:b/>
          <w:sz w:val="22"/>
          <w:szCs w:val="22"/>
        </w:rPr>
      </w:pPr>
      <w:r w:rsidRPr="00FA4EB0">
        <w:rPr>
          <w:rFonts w:eastAsia="ＭＳ 明朝"/>
          <w:b/>
          <w:sz w:val="22"/>
          <w:szCs w:val="22"/>
        </w:rPr>
        <w:lastRenderedPageBreak/>
        <w:t>The gNB determines a COT in an FFP associated to a UE, that is initiated by the UE, if the gNB detects a UL transmission from the UE starting from the beginning of the FFP and ending before the idle period of the FFP</w:t>
      </w:r>
    </w:p>
    <w:p w14:paraId="24018425" w14:textId="77777777" w:rsidR="00A03601" w:rsidRPr="00FA4EB0" w:rsidRDefault="00A03601" w:rsidP="00A03601">
      <w:pPr>
        <w:spacing w:afterLines="50" w:after="120"/>
        <w:jc w:val="both"/>
        <w:rPr>
          <w:rFonts w:eastAsia="ＭＳ 明朝"/>
          <w:b/>
          <w:sz w:val="22"/>
          <w:szCs w:val="22"/>
        </w:rPr>
      </w:pPr>
      <w:r w:rsidRPr="00FA4EB0">
        <w:rPr>
          <w:rFonts w:eastAsia="ＭＳ 明朝"/>
          <w:b/>
          <w:sz w:val="22"/>
          <w:szCs w:val="22"/>
          <w:u w:val="single"/>
        </w:rPr>
        <w:t>Proposal</w:t>
      </w:r>
      <w:r w:rsidRPr="00FA4EB0">
        <w:rPr>
          <w:rFonts w:eastAsia="ＭＳ 明朝" w:hint="eastAsia"/>
          <w:b/>
          <w:sz w:val="22"/>
          <w:szCs w:val="22"/>
          <w:u w:val="single"/>
        </w:rPr>
        <w:t xml:space="preserve"> </w:t>
      </w:r>
      <w:r>
        <w:rPr>
          <w:rFonts w:eastAsia="ＭＳ 明朝" w:hint="eastAsia"/>
          <w:b/>
          <w:sz w:val="22"/>
          <w:szCs w:val="22"/>
          <w:u w:val="single"/>
        </w:rPr>
        <w:t>8</w:t>
      </w:r>
      <w:r w:rsidRPr="00FA4EB0">
        <w:rPr>
          <w:rFonts w:eastAsia="ＭＳ 明朝" w:hint="eastAsia"/>
          <w:b/>
          <w:sz w:val="22"/>
          <w:szCs w:val="22"/>
        </w:rPr>
        <w:t>:</w:t>
      </w:r>
    </w:p>
    <w:p w14:paraId="69373E4E" w14:textId="77777777" w:rsidR="00A03601" w:rsidRPr="00FA4EB0" w:rsidRDefault="00A03601" w:rsidP="00A03601">
      <w:pPr>
        <w:pStyle w:val="afc"/>
        <w:numPr>
          <w:ilvl w:val="0"/>
          <w:numId w:val="20"/>
        </w:numPr>
        <w:spacing w:afterLines="50" w:after="120"/>
        <w:ind w:leftChars="0"/>
        <w:jc w:val="both"/>
        <w:rPr>
          <w:rFonts w:eastAsia="ＭＳ 明朝"/>
          <w:b/>
          <w:sz w:val="22"/>
          <w:szCs w:val="22"/>
        </w:rPr>
      </w:pPr>
      <w:r w:rsidRPr="00FA4EB0">
        <w:rPr>
          <w:rFonts w:eastAsia="ＭＳ 明朝"/>
          <w:b/>
          <w:sz w:val="22"/>
          <w:szCs w:val="22"/>
        </w:rPr>
        <w:t>9 us CCA</w:t>
      </w:r>
      <w:r>
        <w:rPr>
          <w:rFonts w:eastAsia="ＭＳ 明朝"/>
          <w:b/>
          <w:sz w:val="22"/>
          <w:szCs w:val="22"/>
        </w:rPr>
        <w:t xml:space="preserve"> is applied to the gNB’s transmission in </w:t>
      </w:r>
      <w:r w:rsidRPr="00FA4EB0">
        <w:rPr>
          <w:rFonts w:eastAsia="ＭＳ 明朝"/>
          <w:b/>
          <w:sz w:val="22"/>
          <w:szCs w:val="22"/>
        </w:rPr>
        <w:t>UE-to-gNB COT sharing when the gap is &gt; 16us</w:t>
      </w:r>
    </w:p>
    <w:p w14:paraId="0DF5F201" w14:textId="77777777" w:rsidR="00A03601" w:rsidRPr="00A03601" w:rsidRDefault="00A03601" w:rsidP="006315CB">
      <w:pPr>
        <w:spacing w:afterLines="50" w:after="120"/>
        <w:jc w:val="both"/>
        <w:rPr>
          <w:rFonts w:eastAsia="ＭＳ 明朝"/>
          <w:b/>
          <w:sz w:val="22"/>
          <w:szCs w:val="22"/>
          <w:u w:val="single"/>
        </w:rPr>
      </w:pPr>
    </w:p>
    <w:p w14:paraId="525D3C41" w14:textId="517682E1" w:rsidR="006315CB" w:rsidRDefault="006315CB" w:rsidP="006315CB">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A03601">
        <w:rPr>
          <w:rFonts w:eastAsia="ＭＳ 明朝" w:hint="eastAsia"/>
          <w:b/>
          <w:sz w:val="22"/>
          <w:szCs w:val="22"/>
          <w:u w:val="single"/>
        </w:rPr>
        <w:t>9</w:t>
      </w:r>
      <w:r w:rsidRPr="00753F9E">
        <w:rPr>
          <w:rFonts w:eastAsia="ＭＳ 明朝" w:hint="eastAsia"/>
          <w:b/>
          <w:sz w:val="22"/>
          <w:szCs w:val="22"/>
        </w:rPr>
        <w:t>:</w:t>
      </w:r>
    </w:p>
    <w:p w14:paraId="5DDD5B5C" w14:textId="77777777" w:rsidR="006315CB" w:rsidRPr="001F6E3E" w:rsidRDefault="006315CB" w:rsidP="00A82FDE">
      <w:pPr>
        <w:pStyle w:val="afc"/>
        <w:numPr>
          <w:ilvl w:val="0"/>
          <w:numId w:val="20"/>
        </w:numPr>
        <w:spacing w:afterLines="50" w:after="120"/>
        <w:ind w:leftChars="0"/>
        <w:jc w:val="both"/>
        <w:rPr>
          <w:rFonts w:eastAsia="ＭＳ 明朝"/>
          <w:b/>
          <w:sz w:val="22"/>
          <w:szCs w:val="22"/>
        </w:rPr>
      </w:pPr>
      <w:r>
        <w:rPr>
          <w:rFonts w:eastAsia="ＭＳ 明朝"/>
          <w:b/>
          <w:sz w:val="22"/>
          <w:szCs w:val="22"/>
        </w:rPr>
        <w:t xml:space="preserve">Support </w:t>
      </w:r>
      <w:r w:rsidRPr="004C3317">
        <w:rPr>
          <w:rFonts w:eastAsia="ＭＳ 明朝"/>
          <w:b/>
          <w:sz w:val="22"/>
          <w:szCs w:val="22"/>
        </w:rPr>
        <w:t>C</w:t>
      </w:r>
      <w:r>
        <w:rPr>
          <w:rFonts w:eastAsia="ＭＳ 明朝"/>
          <w:b/>
          <w:sz w:val="22"/>
          <w:szCs w:val="22"/>
        </w:rPr>
        <w:t>G-PUSCH with/without</w:t>
      </w:r>
      <w:r w:rsidRPr="004C3317">
        <w:rPr>
          <w:rFonts w:eastAsia="ＭＳ 明朝"/>
          <w:b/>
          <w:sz w:val="22"/>
          <w:szCs w:val="22"/>
        </w:rPr>
        <w:t xml:space="preserve"> CG-UCI</w:t>
      </w:r>
      <w:r>
        <w:rPr>
          <w:rFonts w:eastAsia="ＭＳ 明朝"/>
          <w:b/>
          <w:sz w:val="22"/>
          <w:szCs w:val="22"/>
        </w:rPr>
        <w:t xml:space="preserve"> by configuration in unlicensed band</w:t>
      </w:r>
    </w:p>
    <w:p w14:paraId="1006B8C8" w14:textId="769DB85A" w:rsidR="006315CB" w:rsidRDefault="006315CB" w:rsidP="006315CB">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A03601">
        <w:rPr>
          <w:rFonts w:eastAsia="ＭＳ 明朝" w:hint="eastAsia"/>
          <w:b/>
          <w:sz w:val="22"/>
          <w:szCs w:val="22"/>
          <w:u w:val="single"/>
        </w:rPr>
        <w:t>10</w:t>
      </w:r>
      <w:r w:rsidRPr="00753F9E">
        <w:rPr>
          <w:rFonts w:eastAsia="ＭＳ 明朝" w:hint="eastAsia"/>
          <w:b/>
          <w:sz w:val="22"/>
          <w:szCs w:val="22"/>
        </w:rPr>
        <w:t>:</w:t>
      </w:r>
    </w:p>
    <w:p w14:paraId="6CEB9AC2" w14:textId="6404B206" w:rsidR="006315CB" w:rsidRPr="009474C0" w:rsidRDefault="006315CB" w:rsidP="00A82FDE">
      <w:pPr>
        <w:pStyle w:val="afc"/>
        <w:numPr>
          <w:ilvl w:val="0"/>
          <w:numId w:val="20"/>
        </w:numPr>
        <w:spacing w:afterLines="50" w:after="120"/>
        <w:ind w:leftChars="0"/>
        <w:jc w:val="both"/>
        <w:rPr>
          <w:rFonts w:eastAsia="ＭＳ 明朝"/>
          <w:b/>
          <w:sz w:val="22"/>
          <w:szCs w:val="22"/>
        </w:rPr>
      </w:pPr>
      <w:r>
        <w:rPr>
          <w:rFonts w:eastAsia="ＭＳ 明朝"/>
          <w:b/>
          <w:sz w:val="22"/>
          <w:szCs w:val="22"/>
        </w:rPr>
        <w:t xml:space="preserve">Configuration of </w:t>
      </w:r>
      <w:r w:rsidRPr="009474C0">
        <w:rPr>
          <w:rFonts w:eastAsia="ＭＳ 明朝"/>
          <w:b/>
          <w:i/>
          <w:sz w:val="22"/>
          <w:szCs w:val="22"/>
        </w:rPr>
        <w:t>cg-RetransmissionTimer</w:t>
      </w:r>
      <w:r w:rsidRPr="009474C0">
        <w:rPr>
          <w:rFonts w:eastAsia="ＭＳ 明朝"/>
          <w:b/>
          <w:sz w:val="22"/>
          <w:szCs w:val="22"/>
        </w:rPr>
        <w:t xml:space="preserve"> is not mandated when CG is configured on unlicensed spectrum</w:t>
      </w:r>
      <w:r>
        <w:rPr>
          <w:rFonts w:eastAsia="ＭＳ 明朝"/>
          <w:b/>
          <w:sz w:val="22"/>
          <w:szCs w:val="22"/>
        </w:rPr>
        <w:t xml:space="preserve"> for </w:t>
      </w:r>
      <w:r w:rsidR="00E84191">
        <w:rPr>
          <w:rFonts w:eastAsia="ＭＳ 明朝"/>
          <w:b/>
          <w:sz w:val="22"/>
          <w:szCs w:val="22"/>
        </w:rPr>
        <w:t xml:space="preserve">both </w:t>
      </w:r>
      <w:r>
        <w:rPr>
          <w:rFonts w:eastAsia="ＭＳ 明朝"/>
          <w:b/>
          <w:sz w:val="22"/>
          <w:szCs w:val="22"/>
        </w:rPr>
        <w:t>FBE and LBE</w:t>
      </w:r>
    </w:p>
    <w:p w14:paraId="60B7E350" w14:textId="77777777" w:rsidR="00790915" w:rsidRPr="00E84191" w:rsidRDefault="00790915"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212B0EE" w14:textId="7EE18F83" w:rsidR="00E853F5" w:rsidRDefault="00DF474E" w:rsidP="00DF474E">
      <w:pPr>
        <w:pStyle w:val="afc"/>
        <w:numPr>
          <w:ilvl w:val="0"/>
          <w:numId w:val="4"/>
        </w:numPr>
        <w:spacing w:afterLines="50" w:after="120"/>
        <w:ind w:leftChars="0"/>
        <w:jc w:val="both"/>
        <w:rPr>
          <w:rFonts w:eastAsia="ＭＳ 明朝"/>
          <w:sz w:val="22"/>
        </w:rPr>
      </w:pPr>
      <w:r w:rsidRPr="00DF474E">
        <w:rPr>
          <w:rFonts w:eastAsia="ＭＳ 明朝"/>
          <w:sz w:val="22"/>
        </w:rPr>
        <w:t>Nokia, Nokia Shanghai Bell</w:t>
      </w:r>
      <w:r w:rsidR="00E853F5">
        <w:rPr>
          <w:rFonts w:eastAsia="ＭＳ 明朝"/>
          <w:sz w:val="22"/>
        </w:rPr>
        <w:t>, RP-</w:t>
      </w:r>
      <w:r w:rsidR="00E853F5" w:rsidRPr="00AE6090">
        <w:rPr>
          <w:rFonts w:eastAsia="ＭＳ 明朝"/>
          <w:sz w:val="22"/>
        </w:rPr>
        <w:t>20131</w:t>
      </w:r>
      <w:r>
        <w:rPr>
          <w:rFonts w:eastAsia="ＭＳ 明朝"/>
          <w:sz w:val="22"/>
        </w:rPr>
        <w:t>0</w:t>
      </w:r>
      <w:r w:rsidR="00E853F5">
        <w:rPr>
          <w:rFonts w:eastAsia="ＭＳ 明朝"/>
          <w:sz w:val="22"/>
        </w:rPr>
        <w:t xml:space="preserve">, </w:t>
      </w:r>
      <w:r w:rsidRPr="00DF474E">
        <w:rPr>
          <w:rFonts w:eastAsia="ＭＳ 明朝"/>
          <w:sz w:val="22"/>
        </w:rPr>
        <w:t>Revised WID: Enhanced Industrial Internet of Things (IoT) and ultra-reliable and low latency communication (URLLC) support for NR</w:t>
      </w:r>
      <w:r w:rsidR="00E853F5">
        <w:rPr>
          <w:rFonts w:eastAsia="ＭＳ 明朝"/>
          <w:sz w:val="22"/>
        </w:rPr>
        <w:t>, June 2020.</w:t>
      </w:r>
    </w:p>
    <w:p w14:paraId="2E4B92FF" w14:textId="1124FF9A" w:rsidR="002E1C61" w:rsidRPr="009E7DEA" w:rsidRDefault="00A42CDE" w:rsidP="006315CB">
      <w:pPr>
        <w:widowControl w:val="0"/>
        <w:numPr>
          <w:ilvl w:val="0"/>
          <w:numId w:val="4"/>
        </w:numPr>
        <w:spacing w:after="120"/>
        <w:jc w:val="both"/>
        <w:rPr>
          <w:sz w:val="22"/>
          <w:szCs w:val="22"/>
          <w:lang w:val="en-US"/>
        </w:rPr>
      </w:pPr>
      <w:r>
        <w:rPr>
          <w:rFonts w:eastAsia="SimSun"/>
          <w:sz w:val="22"/>
          <w:lang w:val="en-US" w:eastAsia="zh-CN"/>
        </w:rPr>
        <w:t>3GPP, RAN1 #10</w:t>
      </w:r>
      <w:r>
        <w:rPr>
          <w:rFonts w:eastAsiaTheme="minorEastAsia" w:hint="eastAsia"/>
          <w:sz w:val="22"/>
          <w:lang w:val="en-US"/>
        </w:rPr>
        <w:t>2</w:t>
      </w:r>
      <w:r>
        <w:rPr>
          <w:rFonts w:eastAsia="SimSun"/>
          <w:sz w:val="22"/>
          <w:lang w:val="en-US" w:eastAsia="zh-CN"/>
        </w:rPr>
        <w:t>-e meeting, chairman’s notes.</w:t>
      </w:r>
    </w:p>
    <w:p w14:paraId="536E743C" w14:textId="688BFE46" w:rsidR="009E7DEA" w:rsidRPr="009E7DEA" w:rsidRDefault="009E7DEA" w:rsidP="009E7DEA">
      <w:pPr>
        <w:pStyle w:val="afc"/>
        <w:numPr>
          <w:ilvl w:val="0"/>
          <w:numId w:val="4"/>
        </w:numPr>
        <w:spacing w:afterLines="50" w:after="120"/>
        <w:ind w:leftChars="0"/>
        <w:jc w:val="both"/>
        <w:rPr>
          <w:rFonts w:eastAsia="ＭＳ 明朝"/>
          <w:sz w:val="22"/>
        </w:rPr>
      </w:pPr>
      <w:r w:rsidRPr="009E7DEA">
        <w:rPr>
          <w:rFonts w:eastAsia="ＭＳ 明朝"/>
          <w:sz w:val="22"/>
        </w:rPr>
        <w:t>Moderator (Ericsson)</w:t>
      </w:r>
      <w:r>
        <w:rPr>
          <w:rFonts w:eastAsia="ＭＳ 明朝"/>
          <w:sz w:val="22"/>
        </w:rPr>
        <w:t xml:space="preserve">, </w:t>
      </w:r>
      <w:r w:rsidRPr="009E7DEA">
        <w:rPr>
          <w:rFonts w:eastAsia="ＭＳ 明朝"/>
          <w:sz w:val="22"/>
        </w:rPr>
        <w:t>R1-2007391</w:t>
      </w:r>
      <w:r>
        <w:rPr>
          <w:rFonts w:eastAsia="ＭＳ 明朝"/>
          <w:sz w:val="22"/>
        </w:rPr>
        <w:t xml:space="preserve">, </w:t>
      </w:r>
      <w:r w:rsidRPr="009E7DEA">
        <w:rPr>
          <w:rFonts w:eastAsia="ＭＳ 明朝"/>
          <w:sz w:val="22"/>
        </w:rPr>
        <w:t>Summary#5 on enhancements for unlicensed band URLLC/IIoT for R17</w:t>
      </w:r>
      <w:r>
        <w:rPr>
          <w:rFonts w:eastAsia="ＭＳ 明朝"/>
          <w:sz w:val="22"/>
        </w:rPr>
        <w:t>, Aug. 2020.</w:t>
      </w:r>
    </w:p>
    <w:sectPr w:rsidR="009E7DEA" w:rsidRPr="009E7DEA">
      <w:footerReference w:type="default" r:id="rId12"/>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37CCAEB" w16cid:durableId="2339C3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3F502" w14:textId="77777777" w:rsidR="008A165C" w:rsidRDefault="008A165C">
      <w:r>
        <w:separator/>
      </w:r>
    </w:p>
  </w:endnote>
  <w:endnote w:type="continuationSeparator" w:id="0">
    <w:p w14:paraId="7940E1D2" w14:textId="77777777" w:rsidR="008A165C" w:rsidRDefault="008A165C">
      <w:r>
        <w:continuationSeparator/>
      </w:r>
    </w:p>
  </w:endnote>
  <w:endnote w:type="continuationNotice" w:id="1">
    <w:p w14:paraId="0B5EC8F5" w14:textId="77777777" w:rsidR="008A165C" w:rsidRDefault="008A16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7039BCE7"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E6A22">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E6A22">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BB69F" w14:textId="77777777" w:rsidR="008A165C" w:rsidRDefault="008A165C">
      <w:r>
        <w:separator/>
      </w:r>
    </w:p>
  </w:footnote>
  <w:footnote w:type="continuationSeparator" w:id="0">
    <w:p w14:paraId="38FF809D" w14:textId="77777777" w:rsidR="008A165C" w:rsidRDefault="008A165C">
      <w:r>
        <w:continuationSeparator/>
      </w:r>
    </w:p>
  </w:footnote>
  <w:footnote w:type="continuationNotice" w:id="1">
    <w:p w14:paraId="3E42743F" w14:textId="77777777" w:rsidR="008A165C" w:rsidRDefault="008A165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94228C7"/>
    <w:multiLevelType w:val="hybridMultilevel"/>
    <w:tmpl w:val="3BD6CDE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256E1"/>
    <w:multiLevelType w:val="hybridMultilevel"/>
    <w:tmpl w:val="9B96432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047F83"/>
    <w:multiLevelType w:val="hybridMultilevel"/>
    <w:tmpl w:val="1F86AE80"/>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6C22AFA"/>
    <w:multiLevelType w:val="hybridMultilevel"/>
    <w:tmpl w:val="869EC09C"/>
    <w:lvl w:ilvl="0" w:tplc="04090001">
      <w:start w:val="1"/>
      <w:numFmt w:val="bullet"/>
      <w:lvlText w:val=""/>
      <w:lvlJc w:val="left"/>
      <w:pPr>
        <w:ind w:left="360" w:hanging="360"/>
      </w:pPr>
      <w:rPr>
        <w:rFonts w:ascii="Symbol" w:hAnsi="Symbol" w:hint="default"/>
      </w:rPr>
    </w:lvl>
    <w:lvl w:ilvl="1" w:tplc="AB2C36EC">
      <w:start w:val="23"/>
      <w:numFmt w:val="bullet"/>
      <w:lvlText w:val="·"/>
      <w:lvlJc w:val="left"/>
      <w:pPr>
        <w:ind w:left="1200" w:hanging="480"/>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B2D5E2A"/>
    <w:multiLevelType w:val="hybridMultilevel"/>
    <w:tmpl w:val="4A56372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B8816EA"/>
    <w:multiLevelType w:val="hybridMultilevel"/>
    <w:tmpl w:val="9B9643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8"/>
  </w:num>
  <w:num w:numId="4">
    <w:abstractNumId w:val="5"/>
  </w:num>
  <w:num w:numId="5">
    <w:abstractNumId w:val="21"/>
  </w:num>
  <w:num w:numId="6">
    <w:abstractNumId w:val="15"/>
  </w:num>
  <w:num w:numId="7">
    <w:abstractNumId w:val="2"/>
  </w:num>
  <w:num w:numId="8">
    <w:abstractNumId w:val="9"/>
  </w:num>
  <w:num w:numId="9">
    <w:abstractNumId w:val="10"/>
  </w:num>
  <w:num w:numId="10">
    <w:abstractNumId w:val="16"/>
  </w:num>
  <w:num w:numId="11">
    <w:abstractNumId w:val="7"/>
  </w:num>
  <w:num w:numId="12">
    <w:abstractNumId w:val="1"/>
  </w:num>
  <w:num w:numId="13">
    <w:abstractNumId w:val="14"/>
  </w:num>
  <w:num w:numId="14">
    <w:abstractNumId w:val="18"/>
  </w:num>
  <w:num w:numId="15">
    <w:abstractNumId w:val="12"/>
  </w:num>
  <w:num w:numId="16">
    <w:abstractNumId w:val="11"/>
  </w:num>
  <w:num w:numId="17">
    <w:abstractNumId w:val="13"/>
  </w:num>
  <w:num w:numId="18">
    <w:abstractNumId w:val="19"/>
  </w:num>
  <w:num w:numId="19">
    <w:abstractNumId w:val="3"/>
  </w:num>
  <w:num w:numId="20">
    <w:abstractNumId w:val="6"/>
  </w:num>
  <w:num w:numId="21">
    <w:abstractNumId w:val="20"/>
  </w:num>
  <w:num w:numId="22">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010"/>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B3D"/>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250"/>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778"/>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8F8"/>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28"/>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034"/>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AB5"/>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BF5"/>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A8B"/>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0D2E"/>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2BA6"/>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204"/>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A25"/>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BDF"/>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3F0"/>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A58"/>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142"/>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38F"/>
    <w:rsid w:val="001D6746"/>
    <w:rsid w:val="001D68B0"/>
    <w:rsid w:val="001D6C5A"/>
    <w:rsid w:val="001D6E91"/>
    <w:rsid w:val="001D6FCC"/>
    <w:rsid w:val="001D6FD0"/>
    <w:rsid w:val="001D736D"/>
    <w:rsid w:val="001D741C"/>
    <w:rsid w:val="001D7951"/>
    <w:rsid w:val="001E07DC"/>
    <w:rsid w:val="001E0A41"/>
    <w:rsid w:val="001E0C8F"/>
    <w:rsid w:val="001E0E1E"/>
    <w:rsid w:val="001E1A59"/>
    <w:rsid w:val="001E1ACD"/>
    <w:rsid w:val="001E1B66"/>
    <w:rsid w:val="001E2618"/>
    <w:rsid w:val="001E2AD4"/>
    <w:rsid w:val="001E3B1C"/>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ADD"/>
    <w:rsid w:val="001F6B10"/>
    <w:rsid w:val="001F6D5C"/>
    <w:rsid w:val="001F6E3E"/>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80"/>
    <w:rsid w:val="002072DA"/>
    <w:rsid w:val="0020744F"/>
    <w:rsid w:val="0020746F"/>
    <w:rsid w:val="00207591"/>
    <w:rsid w:val="002076A6"/>
    <w:rsid w:val="0020771A"/>
    <w:rsid w:val="00207984"/>
    <w:rsid w:val="00207B54"/>
    <w:rsid w:val="00207C49"/>
    <w:rsid w:val="00210246"/>
    <w:rsid w:val="0021080C"/>
    <w:rsid w:val="00210B76"/>
    <w:rsid w:val="002113D0"/>
    <w:rsid w:val="00211729"/>
    <w:rsid w:val="00211918"/>
    <w:rsid w:val="00211A7B"/>
    <w:rsid w:val="002122BB"/>
    <w:rsid w:val="00212447"/>
    <w:rsid w:val="00212557"/>
    <w:rsid w:val="002126B3"/>
    <w:rsid w:val="00212805"/>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615"/>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6F7"/>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E6"/>
    <w:rsid w:val="00263B7C"/>
    <w:rsid w:val="00263DFA"/>
    <w:rsid w:val="00263F5B"/>
    <w:rsid w:val="002640D0"/>
    <w:rsid w:val="002642B1"/>
    <w:rsid w:val="002644F5"/>
    <w:rsid w:val="00264609"/>
    <w:rsid w:val="0026473B"/>
    <w:rsid w:val="0026498A"/>
    <w:rsid w:val="00264CC2"/>
    <w:rsid w:val="00264F4B"/>
    <w:rsid w:val="002653A3"/>
    <w:rsid w:val="0026542C"/>
    <w:rsid w:val="0026556D"/>
    <w:rsid w:val="00265588"/>
    <w:rsid w:val="002655DD"/>
    <w:rsid w:val="00265741"/>
    <w:rsid w:val="00265BE9"/>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214"/>
    <w:rsid w:val="00297333"/>
    <w:rsid w:val="0029746C"/>
    <w:rsid w:val="00297954"/>
    <w:rsid w:val="00297DD0"/>
    <w:rsid w:val="002A0193"/>
    <w:rsid w:val="002A037C"/>
    <w:rsid w:val="002A0F03"/>
    <w:rsid w:val="002A0FE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012C"/>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42"/>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61"/>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312"/>
    <w:rsid w:val="00323A47"/>
    <w:rsid w:val="00323AAF"/>
    <w:rsid w:val="00323BDD"/>
    <w:rsid w:val="00323C20"/>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8FC"/>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567"/>
    <w:rsid w:val="003416CF"/>
    <w:rsid w:val="00341864"/>
    <w:rsid w:val="00341A13"/>
    <w:rsid w:val="00341A4F"/>
    <w:rsid w:val="00341FA9"/>
    <w:rsid w:val="003428FB"/>
    <w:rsid w:val="00342C28"/>
    <w:rsid w:val="00342E3A"/>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CE0"/>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4A4"/>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8A6"/>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3E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B52"/>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74"/>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1FF2"/>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90"/>
    <w:rsid w:val="003B6AC6"/>
    <w:rsid w:val="003B6D1C"/>
    <w:rsid w:val="003B6FC8"/>
    <w:rsid w:val="003B71E5"/>
    <w:rsid w:val="003B7431"/>
    <w:rsid w:val="003C0CEE"/>
    <w:rsid w:val="003C0DBD"/>
    <w:rsid w:val="003C1058"/>
    <w:rsid w:val="003C12D4"/>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49F"/>
    <w:rsid w:val="003C57C8"/>
    <w:rsid w:val="003C5C8A"/>
    <w:rsid w:val="003C5F0A"/>
    <w:rsid w:val="003C6261"/>
    <w:rsid w:val="003C66D0"/>
    <w:rsid w:val="003C6CFD"/>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476"/>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EEF"/>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A2F"/>
    <w:rsid w:val="003F7C29"/>
    <w:rsid w:val="003F7DDF"/>
    <w:rsid w:val="00400603"/>
    <w:rsid w:val="00400EC3"/>
    <w:rsid w:val="0040168F"/>
    <w:rsid w:val="004016CE"/>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60287"/>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097"/>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830"/>
    <w:rsid w:val="00477D75"/>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87684"/>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0FE3"/>
    <w:rsid w:val="004A1201"/>
    <w:rsid w:val="004A1221"/>
    <w:rsid w:val="004A1432"/>
    <w:rsid w:val="004A146C"/>
    <w:rsid w:val="004A146F"/>
    <w:rsid w:val="004A16FC"/>
    <w:rsid w:val="004A1A26"/>
    <w:rsid w:val="004A1D0B"/>
    <w:rsid w:val="004A1D4E"/>
    <w:rsid w:val="004A1FC5"/>
    <w:rsid w:val="004A21E9"/>
    <w:rsid w:val="004A2530"/>
    <w:rsid w:val="004A258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414"/>
    <w:rsid w:val="004B34C3"/>
    <w:rsid w:val="004B37F3"/>
    <w:rsid w:val="004B38B8"/>
    <w:rsid w:val="004B3CC7"/>
    <w:rsid w:val="004B3E9E"/>
    <w:rsid w:val="004B42E0"/>
    <w:rsid w:val="004B4307"/>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317"/>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211"/>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7C2"/>
    <w:rsid w:val="004E5B0C"/>
    <w:rsid w:val="004E5FB6"/>
    <w:rsid w:val="004E601B"/>
    <w:rsid w:val="004E6120"/>
    <w:rsid w:val="004E63DD"/>
    <w:rsid w:val="004E63DF"/>
    <w:rsid w:val="004E6459"/>
    <w:rsid w:val="004E6A22"/>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3A0"/>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0C"/>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E34"/>
    <w:rsid w:val="00572FEC"/>
    <w:rsid w:val="005736B8"/>
    <w:rsid w:val="00573AE9"/>
    <w:rsid w:val="00573DA3"/>
    <w:rsid w:val="0057420D"/>
    <w:rsid w:val="00574306"/>
    <w:rsid w:val="005743B4"/>
    <w:rsid w:val="005748C5"/>
    <w:rsid w:val="005748D0"/>
    <w:rsid w:val="00574A6F"/>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2F2"/>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2F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DA3"/>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EBD"/>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1"/>
    <w:rsid w:val="005E4C23"/>
    <w:rsid w:val="005E4E3F"/>
    <w:rsid w:val="005E4FD3"/>
    <w:rsid w:val="005E5323"/>
    <w:rsid w:val="005E56A2"/>
    <w:rsid w:val="005E5836"/>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AD4"/>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5CB"/>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6C"/>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C91"/>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29"/>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BA"/>
    <w:rsid w:val="006E17D0"/>
    <w:rsid w:val="006E1C24"/>
    <w:rsid w:val="006E1E7D"/>
    <w:rsid w:val="006E20C1"/>
    <w:rsid w:val="006E22B4"/>
    <w:rsid w:val="006E275A"/>
    <w:rsid w:val="006E2BCA"/>
    <w:rsid w:val="006E2C0E"/>
    <w:rsid w:val="006E2CAA"/>
    <w:rsid w:val="006E2E7C"/>
    <w:rsid w:val="006E2EEC"/>
    <w:rsid w:val="006E2EFC"/>
    <w:rsid w:val="006E2FC3"/>
    <w:rsid w:val="006E3655"/>
    <w:rsid w:val="006E39AE"/>
    <w:rsid w:val="006E3CD5"/>
    <w:rsid w:val="006E3D07"/>
    <w:rsid w:val="006E3EF7"/>
    <w:rsid w:val="006E3FFB"/>
    <w:rsid w:val="006E466F"/>
    <w:rsid w:val="006E489E"/>
    <w:rsid w:val="006E4F12"/>
    <w:rsid w:val="006E50C1"/>
    <w:rsid w:val="006E50E3"/>
    <w:rsid w:val="006E551F"/>
    <w:rsid w:val="006E58FB"/>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19"/>
    <w:rsid w:val="00712CEC"/>
    <w:rsid w:val="00712F61"/>
    <w:rsid w:val="007135CA"/>
    <w:rsid w:val="00713767"/>
    <w:rsid w:val="00713D53"/>
    <w:rsid w:val="00713DA7"/>
    <w:rsid w:val="00713E3C"/>
    <w:rsid w:val="00713EBC"/>
    <w:rsid w:val="00713ECC"/>
    <w:rsid w:val="007143AF"/>
    <w:rsid w:val="007145FA"/>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317"/>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AA5"/>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6ED"/>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5D8"/>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85"/>
    <w:rsid w:val="007F6CC3"/>
    <w:rsid w:val="007F747F"/>
    <w:rsid w:val="007F7CAD"/>
    <w:rsid w:val="007F7CC8"/>
    <w:rsid w:val="007F7CD6"/>
    <w:rsid w:val="007F7DA8"/>
    <w:rsid w:val="008006ED"/>
    <w:rsid w:val="00800969"/>
    <w:rsid w:val="00800CEC"/>
    <w:rsid w:val="00800DE0"/>
    <w:rsid w:val="00800F6F"/>
    <w:rsid w:val="0080127C"/>
    <w:rsid w:val="008013AE"/>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91E"/>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06A"/>
    <w:rsid w:val="00826163"/>
    <w:rsid w:val="00826562"/>
    <w:rsid w:val="00826BAC"/>
    <w:rsid w:val="008271D4"/>
    <w:rsid w:val="008272BE"/>
    <w:rsid w:val="00827493"/>
    <w:rsid w:val="008275B3"/>
    <w:rsid w:val="008276BB"/>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CEB"/>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1C0"/>
    <w:rsid w:val="008503A5"/>
    <w:rsid w:val="008505F1"/>
    <w:rsid w:val="00850757"/>
    <w:rsid w:val="00850F8F"/>
    <w:rsid w:val="0085109F"/>
    <w:rsid w:val="008512E4"/>
    <w:rsid w:val="00851413"/>
    <w:rsid w:val="0085145F"/>
    <w:rsid w:val="00851569"/>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C82"/>
    <w:rsid w:val="00875ED7"/>
    <w:rsid w:val="00876295"/>
    <w:rsid w:val="00876808"/>
    <w:rsid w:val="00876B1F"/>
    <w:rsid w:val="00876B97"/>
    <w:rsid w:val="00876BA2"/>
    <w:rsid w:val="00876ED3"/>
    <w:rsid w:val="008770F5"/>
    <w:rsid w:val="00877275"/>
    <w:rsid w:val="0087731A"/>
    <w:rsid w:val="008776F1"/>
    <w:rsid w:val="0087782F"/>
    <w:rsid w:val="008778FC"/>
    <w:rsid w:val="00877926"/>
    <w:rsid w:val="00877979"/>
    <w:rsid w:val="00877BFC"/>
    <w:rsid w:val="008800D4"/>
    <w:rsid w:val="008806DC"/>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A1A"/>
    <w:rsid w:val="008943E0"/>
    <w:rsid w:val="00894C38"/>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5C"/>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231"/>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99B"/>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EF7"/>
    <w:rsid w:val="008E6F09"/>
    <w:rsid w:val="008E7169"/>
    <w:rsid w:val="008E7512"/>
    <w:rsid w:val="008E771A"/>
    <w:rsid w:val="008E784A"/>
    <w:rsid w:val="008E7D71"/>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51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0C"/>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AB"/>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4C0"/>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957"/>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7CF"/>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AD7"/>
    <w:rsid w:val="009A016C"/>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7C"/>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46A"/>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DEA"/>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3601"/>
    <w:rsid w:val="00A03AB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2E1"/>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2F3"/>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CDE"/>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6EA0"/>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DC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595"/>
    <w:rsid w:val="00A76AE3"/>
    <w:rsid w:val="00A76CB7"/>
    <w:rsid w:val="00A76CC0"/>
    <w:rsid w:val="00A772DA"/>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2FDE"/>
    <w:rsid w:val="00A831A7"/>
    <w:rsid w:val="00A833D8"/>
    <w:rsid w:val="00A8383D"/>
    <w:rsid w:val="00A83E4A"/>
    <w:rsid w:val="00A84614"/>
    <w:rsid w:val="00A84BED"/>
    <w:rsid w:val="00A85131"/>
    <w:rsid w:val="00A85F46"/>
    <w:rsid w:val="00A864FD"/>
    <w:rsid w:val="00A8651E"/>
    <w:rsid w:val="00A86AA2"/>
    <w:rsid w:val="00A86AF1"/>
    <w:rsid w:val="00A870AA"/>
    <w:rsid w:val="00A870D8"/>
    <w:rsid w:val="00A870ED"/>
    <w:rsid w:val="00A871D7"/>
    <w:rsid w:val="00A8723B"/>
    <w:rsid w:val="00A87307"/>
    <w:rsid w:val="00A87C84"/>
    <w:rsid w:val="00A903BA"/>
    <w:rsid w:val="00A903CB"/>
    <w:rsid w:val="00A90432"/>
    <w:rsid w:val="00A90444"/>
    <w:rsid w:val="00A90BA5"/>
    <w:rsid w:val="00A91871"/>
    <w:rsid w:val="00A91A2B"/>
    <w:rsid w:val="00A91B5B"/>
    <w:rsid w:val="00A91E4E"/>
    <w:rsid w:val="00A92856"/>
    <w:rsid w:val="00A92C96"/>
    <w:rsid w:val="00A93873"/>
    <w:rsid w:val="00A9402B"/>
    <w:rsid w:val="00A94627"/>
    <w:rsid w:val="00A946AD"/>
    <w:rsid w:val="00A94916"/>
    <w:rsid w:val="00A949C3"/>
    <w:rsid w:val="00A94C1D"/>
    <w:rsid w:val="00A94EC8"/>
    <w:rsid w:val="00A94F3B"/>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6C6"/>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517"/>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527"/>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7A"/>
    <w:rsid w:val="00B11DF2"/>
    <w:rsid w:val="00B11F09"/>
    <w:rsid w:val="00B12393"/>
    <w:rsid w:val="00B1290C"/>
    <w:rsid w:val="00B12E99"/>
    <w:rsid w:val="00B13265"/>
    <w:rsid w:val="00B13624"/>
    <w:rsid w:val="00B137AF"/>
    <w:rsid w:val="00B138F3"/>
    <w:rsid w:val="00B13A2B"/>
    <w:rsid w:val="00B13D8F"/>
    <w:rsid w:val="00B1409C"/>
    <w:rsid w:val="00B14797"/>
    <w:rsid w:val="00B14C55"/>
    <w:rsid w:val="00B14F96"/>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03"/>
    <w:rsid w:val="00B22D88"/>
    <w:rsid w:val="00B23032"/>
    <w:rsid w:val="00B2319A"/>
    <w:rsid w:val="00B232C5"/>
    <w:rsid w:val="00B233AE"/>
    <w:rsid w:val="00B236B5"/>
    <w:rsid w:val="00B2399E"/>
    <w:rsid w:val="00B23C44"/>
    <w:rsid w:val="00B23D23"/>
    <w:rsid w:val="00B24189"/>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6FA9"/>
    <w:rsid w:val="00B475DF"/>
    <w:rsid w:val="00B4767D"/>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87C"/>
    <w:rsid w:val="00B70978"/>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0C"/>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0F90"/>
    <w:rsid w:val="00BA1513"/>
    <w:rsid w:val="00BA1639"/>
    <w:rsid w:val="00BA1782"/>
    <w:rsid w:val="00BA1828"/>
    <w:rsid w:val="00BA1ACB"/>
    <w:rsid w:val="00BA23DE"/>
    <w:rsid w:val="00BA24BA"/>
    <w:rsid w:val="00BA316D"/>
    <w:rsid w:val="00BA31E4"/>
    <w:rsid w:val="00BA391C"/>
    <w:rsid w:val="00BA39B7"/>
    <w:rsid w:val="00BA3E04"/>
    <w:rsid w:val="00BA405E"/>
    <w:rsid w:val="00BA4091"/>
    <w:rsid w:val="00BA437E"/>
    <w:rsid w:val="00BA46E4"/>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37"/>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8A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5FA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122"/>
    <w:rsid w:val="00C02337"/>
    <w:rsid w:val="00C024AC"/>
    <w:rsid w:val="00C024C6"/>
    <w:rsid w:val="00C028A2"/>
    <w:rsid w:val="00C028D7"/>
    <w:rsid w:val="00C02EBF"/>
    <w:rsid w:val="00C03058"/>
    <w:rsid w:val="00C03174"/>
    <w:rsid w:val="00C0336D"/>
    <w:rsid w:val="00C034AA"/>
    <w:rsid w:val="00C038D5"/>
    <w:rsid w:val="00C03C8B"/>
    <w:rsid w:val="00C03CD0"/>
    <w:rsid w:val="00C04002"/>
    <w:rsid w:val="00C041D0"/>
    <w:rsid w:val="00C04394"/>
    <w:rsid w:val="00C04459"/>
    <w:rsid w:val="00C044A7"/>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94"/>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5E26"/>
    <w:rsid w:val="00C56881"/>
    <w:rsid w:val="00C56EF2"/>
    <w:rsid w:val="00C57163"/>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4D9"/>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02"/>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444"/>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5B"/>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5FE"/>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CB5"/>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3D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5BA"/>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12"/>
    <w:rsid w:val="00D721D0"/>
    <w:rsid w:val="00D72522"/>
    <w:rsid w:val="00D726E9"/>
    <w:rsid w:val="00D72BE6"/>
    <w:rsid w:val="00D72D0E"/>
    <w:rsid w:val="00D72EA2"/>
    <w:rsid w:val="00D73559"/>
    <w:rsid w:val="00D7374D"/>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5A"/>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C1B"/>
    <w:rsid w:val="00DE3EE0"/>
    <w:rsid w:val="00DE4317"/>
    <w:rsid w:val="00DE4323"/>
    <w:rsid w:val="00DE4416"/>
    <w:rsid w:val="00DE451D"/>
    <w:rsid w:val="00DE4AB9"/>
    <w:rsid w:val="00DE4CC4"/>
    <w:rsid w:val="00DE54E0"/>
    <w:rsid w:val="00DE5606"/>
    <w:rsid w:val="00DE56AB"/>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74E"/>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7CA"/>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5FD2"/>
    <w:rsid w:val="00E063D4"/>
    <w:rsid w:val="00E0678C"/>
    <w:rsid w:val="00E06A8F"/>
    <w:rsid w:val="00E06A9F"/>
    <w:rsid w:val="00E06CA6"/>
    <w:rsid w:val="00E0706B"/>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39"/>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28"/>
    <w:rsid w:val="00E276FD"/>
    <w:rsid w:val="00E2780B"/>
    <w:rsid w:val="00E278B0"/>
    <w:rsid w:val="00E278FA"/>
    <w:rsid w:val="00E27A3E"/>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2B4"/>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890"/>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BF"/>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7F9"/>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191"/>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22F"/>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5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B4B"/>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99"/>
    <w:rsid w:val="00EC28A0"/>
    <w:rsid w:val="00EC290D"/>
    <w:rsid w:val="00EC2A40"/>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1FB1"/>
    <w:rsid w:val="00EF25D9"/>
    <w:rsid w:val="00EF2828"/>
    <w:rsid w:val="00EF295D"/>
    <w:rsid w:val="00EF29A6"/>
    <w:rsid w:val="00EF2B06"/>
    <w:rsid w:val="00EF376D"/>
    <w:rsid w:val="00EF3776"/>
    <w:rsid w:val="00EF39A6"/>
    <w:rsid w:val="00EF3F8D"/>
    <w:rsid w:val="00EF4125"/>
    <w:rsid w:val="00EF4416"/>
    <w:rsid w:val="00EF485C"/>
    <w:rsid w:val="00EF49D9"/>
    <w:rsid w:val="00EF4A9D"/>
    <w:rsid w:val="00EF4BFB"/>
    <w:rsid w:val="00EF4C8F"/>
    <w:rsid w:val="00EF4D4F"/>
    <w:rsid w:val="00EF4E14"/>
    <w:rsid w:val="00EF5571"/>
    <w:rsid w:val="00EF5768"/>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205"/>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8D"/>
    <w:rsid w:val="00F2703E"/>
    <w:rsid w:val="00F277EA"/>
    <w:rsid w:val="00F278BA"/>
    <w:rsid w:val="00F2792B"/>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5D2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0"/>
    <w:rsid w:val="00F61A95"/>
    <w:rsid w:val="00F624AE"/>
    <w:rsid w:val="00F62558"/>
    <w:rsid w:val="00F634C2"/>
    <w:rsid w:val="00F635E0"/>
    <w:rsid w:val="00F6417D"/>
    <w:rsid w:val="00F64916"/>
    <w:rsid w:val="00F65C72"/>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06E"/>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FF5"/>
    <w:rsid w:val="00FA4C46"/>
    <w:rsid w:val="00FA4EB0"/>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6F2"/>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39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07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列"/>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1"/>
    <w:rsid w:val="003A1FF2"/>
    <w:rPr>
      <w:rFonts w:ascii="SimSun" w:eastAsia="SimSun" w:hAnsi="SimSun" w:cs="SimSun"/>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5763091">
      <w:bodyDiv w:val="1"/>
      <w:marLeft w:val="0"/>
      <w:marRight w:val="0"/>
      <w:marTop w:val="0"/>
      <w:marBottom w:val="0"/>
      <w:divBdr>
        <w:top w:val="none" w:sz="0" w:space="0" w:color="auto"/>
        <w:left w:val="none" w:sz="0" w:space="0" w:color="auto"/>
        <w:bottom w:val="none" w:sz="0" w:space="0" w:color="auto"/>
        <w:right w:val="none" w:sz="0" w:space="0" w:color="auto"/>
      </w:divBdr>
      <w:divsChild>
        <w:div w:id="1230074174">
          <w:marLeft w:val="706"/>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2\Docs\R1-2005376.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23A31-65B6-4179-8AF3-579BABD46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2646</Words>
  <Characters>15088</Characters>
  <Application>Microsoft Office Word</Application>
  <DocSecurity>0</DocSecurity>
  <Lines>125</Lines>
  <Paragraphs>35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2020-10-20T09:36:00Z</dcterms:created>
  <dcterms:modified xsi:type="dcterms:W3CDTF">2020-10-23T09:24:00Z</dcterms:modified>
</cp:coreProperties>
</file>